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0"/>
        </w:rPr>
        <w:t>Edge #3 — Volatility Risk Premium (Sell Vol)</w:t>
      </w:r>
    </w:p>
    <w:p>
      <w:r>
        <w:rPr>
          <w:b/>
          <w:color w:val="B07A00"/>
          <w:sz w:val="24"/>
        </w:rPr>
        <w:t>STATUS: PAPER (real but tail-risky — size for the tail, not the Sharpe)</w:t>
      </w:r>
    </w:p>
    <w:p>
      <w:r>
        <w:rPr>
          <w:i/>
          <w:sz w:val="17"/>
        </w:rPr>
        <w:t>As of 2026-06-11 · catalog of record: HFT-work/docs/EDGES.md · stance: TRADING_POLICY.md (pro-trading, anti-delusion — the only veto is the data)</w:t>
      </w:r>
    </w:p>
    <w:p>
      <w:pPr>
        <w:pStyle w:val="Heading1"/>
      </w:pPr>
      <w:r>
        <w:t>The trade</w:t>
      </w:r>
    </w:p>
    <w:p>
      <w:r>
        <w:t>Implied vol systematically exceeds subsequently-realized vol; option sellers are paid for bearing variance risk. Sell straddles/variance on BTC and harvest the gap.</w:t>
      </w:r>
    </w:p>
    <w:p>
      <w:pPr>
        <w:pStyle w:val="Heading1"/>
      </w:pPr>
      <w:r>
        <w:t>Evidence (Deribit DVOL vs Binance realized, 2021–2026)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Test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VRP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+8.87 vol points; positive 73% of 1,867 days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Honest non-overlapping Sharpe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≈1.23 (36 independent 30d blocks, won 24/36)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PBO / DSR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0.17 / 1.00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Overlapping-window Sharpe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9.26 — inflated, correctly DISCARDED</w:t>
            </w:r>
          </w:p>
        </w:tc>
      </w:tr>
    </w:tbl>
    <w:p>
      <w:pPr>
        <w:pStyle w:val="Heading1"/>
      </w:pPr>
      <w:r>
        <w:t>Caveats &amp; falsifiers</w:t>
      </w:r>
    </w:p>
    <w:p>
      <w:pPr>
        <w:pStyle w:val="ListBullet"/>
      </w:pPr>
      <w:r>
        <w:t>Fat left tail / negative skew: small premiums, occasional large losses in vol spikes — 'pennies in front of a steamroller'.</w:t>
      </w:r>
    </w:p>
    <w:p>
      <w:pPr>
        <w:pStyle w:val="ListBullet"/>
      </w:pPr>
      <w:r>
        <w:t>Sharpe does not capture the skew; the honest 1.23 still overstates risk-adjusted appeal.</w:t>
      </w:r>
    </w:p>
    <w:p>
      <w:pPr>
        <w:pStyle w:val="ListBullet"/>
      </w:pPr>
      <w:r>
        <w:t>Position sizing must assume the tail event happens while positioned.</w:t>
      </w:r>
    </w:p>
    <w:p>
      <w:pPr>
        <w:pStyle w:val="Heading1"/>
      </w:pPr>
      <w:r>
        <w:t>Tooling</w:t>
      </w:r>
    </w:p>
    <w:p>
      <w:r>
        <w:t>scripts/_carry-deribit-vol-risk-premium.ts · vol-surface forward track live (skew + term + VRP).</w:t>
      </w:r>
    </w:p>
    <w:p>
      <w:pPr>
        <w:jc w:val="center"/>
      </w:pPr>
      <w:r>
        <w:rPr>
          <w:i/>
          <w:sz w:val="16"/>
        </w:rPr>
        <w:t>Never claim guaranteed profit · never martingale · forward paper-track with independent resolution beats any in-sample number.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