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Adjacent — Staking-Hedged Yield Carry</w:t>
      </w:r>
    </w:p>
    <w:p>
      <w:r>
        <w:rPr>
          <w:b/>
          <w:color w:val="B07A00"/>
          <w:sz w:val="24"/>
        </w:rPr>
        <w:t>STATUS: PAPER (real structural carry, inflated headline)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Stake ETH/SOL (~3.2%/7% APY), short the perp to hedge price → delta-neutral staking yield; the short also collects positive funding when present. ~5–6% net APR, fee-robust (survives 150 bps/yr drag).</w:t>
      </w:r>
    </w:p>
    <w:p>
      <w:pPr>
        <w:pStyle w:val="Heading1"/>
      </w:pPr>
      <w:r>
        <w:t>Caveats &amp; falsifiers</w:t>
      </w:r>
    </w:p>
    <w:p>
      <w:pPr>
        <w:pStyle w:val="ListBullet"/>
      </w:pPr>
      <w:r>
        <w:t>Headline Sharpe (~14) is inflated: models staking as riskless.</w:t>
      </w:r>
    </w:p>
    <w:p>
      <w:pPr>
        <w:pStyle w:val="ListBullet"/>
      </w:pPr>
      <w:r>
        <w:t>ETH unbond-queue illiquidity: can't unwind the hedge against a leg you can't exit for days/weeks.</w:t>
      </w:r>
    </w:p>
    <w:p>
      <w:pPr>
        <w:pStyle w:val="ListBullet"/>
      </w:pPr>
      <w:r>
        <w:t>Slashing, LST depeg, tracking error are real and unmodeled.</w:t>
      </w:r>
    </w:p>
    <w:p>
      <w:pPr>
        <w:pStyle w:val="Heading1"/>
      </w:pPr>
      <w:r>
        <w:t>Tooling</w:t>
      </w:r>
    </w:p>
    <w:p>
      <w:r>
        <w:t>scripts/_carry-staking-hedged-yield.ts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