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HL-Delta — Same-Venue Funding HOLD Sleeve</w:t>
      </w:r>
    </w:p>
    <w:p>
      <w:r>
        <w:rPr>
          <w:b/>
          <w:color w:val="B07A00"/>
          <w:sz w:val="24"/>
        </w:rPr>
        <w:t>STATUS: PAPER SLEEVE (the HOLD is real; the rotation is a cost-line loss)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Hold the delta-neutral funding-receiving position on a single persistent name on Hyperliquid (HYPE), collecting same-venue funding without cross-venue legs. Mined from the strategy fan-out and pushed through the full gauntlet.</w:t>
      </w:r>
    </w:p>
    <w:p>
      <w:pPr>
        <w:pStyle w:val="Heading1"/>
      </w:pPr>
      <w:r>
        <w:t>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OOS (HYPE hold)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+7.4% APR out-of-sample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Rotation variant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FAILS — rotating names loses the edge to costs/timing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Front gate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passed the ported Freqtrade lookahead + recursive bias detectors</w:t>
            </w:r>
          </w:p>
        </w:tc>
      </w:tr>
    </w:tbl>
    <w:p>
      <w:pPr>
        <w:pStyle w:val="Heading1"/>
      </w:pPr>
      <w:r>
        <w:t>Caveats &amp; falsifiers</w:t>
      </w:r>
    </w:p>
    <w:p>
      <w:pPr>
        <w:pStyle w:val="ListBullet"/>
      </w:pPr>
      <w:r>
        <w:t>Single-name concentration: the sleeve IS HYPE; if its funding regime ends, the sleeve ends.</w:t>
      </w:r>
    </w:p>
    <w:p>
      <w:pPr>
        <w:pStyle w:val="ListBullet"/>
      </w:pPr>
      <w:r>
        <w:t>Same Hyperliquid execution constraints as Edge #1 (funding floor, no spot borrow for negatives).</w:t>
      </w:r>
    </w:p>
    <w:p>
      <w:pPr>
        <w:pStyle w:val="Heading1"/>
      </w:pPr>
      <w:r>
        <w:t>Tooling</w:t>
      </w:r>
    </w:p>
    <w:p>
      <w:r>
        <w:t>see commits 13f7636 / b15498b (hl-delta gauntlet + verdict).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