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Polymarket — Merge-Maker + Rebates (Lane A)</w:t>
      </w:r>
    </w:p>
    <w:p>
      <w:r>
        <w:rPr>
          <w:b/>
          <w:color w:val="B07A00"/>
          <w:sz w:val="24"/>
        </w:rPr>
        <w:t>STATUS: PAPER, FORWARD-ACCRUING — the strongest prediction-market lane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On short-duration crypto binaries (5-min/15-min/hourly Up/Down): post maker BUY bids on BOTH the Yes and No tokens such that the paired cost is below $1.00, merge complete sets back to $1 USDC (riskless margin at merge), collect maker rebates. Inventory risk nets out at the pair level — the structural answer to the adverse selection that kills naked quoting (see doc 07).</w:t>
      </w:r>
    </w:p>
    <w:p>
      <w:pPr>
        <w:pStyle w:val="Heading1"/>
      </w:pPr>
      <w:r>
        <w:t>Existence proofs (on-chain, verified 2026-06-10/11)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Wallet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Evidence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coinman2 (0x55be…dca3)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+$1,090,424 / 558d, ~1.4% of $79.1M volume; MAKER_REBATE + MERGE fingerprint; survived −$349k max DD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0x6db568e6…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+$1.58M, 7.2% margin, 54d — merge-maker hybrid, live today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Bonereaper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+$999k / 77d, 0.69% margin on volume, max DD only −$8.7k — the benchmark</w:t>
            </w:r>
          </w:p>
        </w:tc>
      </w:tr>
    </w:tbl>
    <w:p>
      <w:pPr>
        <w:pStyle w:val="Heading1"/>
      </w:pPr>
      <w:r>
        <w:t>Calibration fingerprint (what the profitable cohort actually does)</w:t>
      </w:r>
    </w:p>
    <w:p>
      <w:pPr>
        <w:pStyle w:val="ListBullet"/>
      </w:pPr>
      <w:r>
        <w:t>$1–14 median fills (the −$1.29M dead maker ran 4× bigger clips).</w:t>
      </w:r>
    </w:p>
    <w:p>
      <w:pPr>
        <w:pStyle w:val="ListBullet"/>
      </w:pPr>
      <w:r>
        <w:t>Quote the FULL 0.02→0.99 lifecycle — only 5–11% of fills near the mid.</w:t>
      </w:r>
    </w:p>
    <w:p>
      <w:pPr>
        <w:pStyle w:val="ListBullet"/>
      </w:pPr>
      <w:r>
        <w:t>~3s requote cadence (dead maker: 13s).</w:t>
      </w:r>
    </w:p>
    <w:p>
      <w:pPr>
        <w:pStyle w:val="ListBullet"/>
      </w:pPr>
      <w:r>
        <w:t>Net 0.1–0.7% of volume — profit comes from volume × tiny margin, not from being right.</w:t>
      </w:r>
    </w:p>
    <w:p>
      <w:pPr>
        <w:pStyle w:val="Heading1"/>
      </w:pPr>
      <w:r>
        <w:t>Our forward paper (TradingBot2 Lane A)</w:t>
      </w:r>
    </w:p>
    <w:p>
      <w:pPr>
        <w:pStyle w:val="ListBullet"/>
      </w:pPr>
      <w:r>
        <w:t>merge_maker.py daemon on 5m/15m updowns, 120s cycles; cross-cycle pair state persisted.</w:t>
      </w:r>
    </w:p>
    <w:p>
      <w:pPr>
        <w:pStyle w:val="ListBullet"/>
      </w:pPr>
      <w:r>
        <w:t>First 4 finalized windows: 73.7% pair completion; income decomposition MAKER-DRIVEN (+$24.10 maker vs +$3.50 residual). Tiny n — let it accrue.</w:t>
      </w:r>
    </w:p>
    <w:p>
      <w:pPr>
        <w:pStyle w:val="ListBullet"/>
      </w:pPr>
      <w:r>
        <w:t>Independent prior: evan-kolberg's forward-validated passive_pair_accumulation (≈ the same strategy).</w:t>
      </w:r>
    </w:p>
    <w:p>
      <w:pPr>
        <w:pStyle w:val="Heading1"/>
      </w:pPr>
      <w:r>
        <w:t>Falsifiers / gates</w:t>
      </w:r>
    </w:p>
    <w:p>
      <w:pPr>
        <w:pStyle w:val="ListBullet"/>
      </w:pPr>
      <w:r>
        <w:t>Pair-completion rate collapsing → unpaired inventory is naked directional risk.</w:t>
      </w:r>
    </w:p>
    <w:p>
      <w:pPr>
        <w:pStyle w:val="ListBullet"/>
      </w:pPr>
      <w:r>
        <w:t>G3 backtest on PMXT free L2 archive (queue-position fills) before any capital.</w:t>
      </w:r>
    </w:p>
    <w:p>
      <w:pPr>
        <w:pStyle w:val="ListBullet"/>
      </w:pPr>
      <w:r>
        <w:t>Bankroll honesty: coinman2 needed six figures + $349k DD tolerance for $2k/day; small bankroll ⇒ proportionally small absolute PnL.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