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sz w:val="40"/>
        </w:rPr>
        <w:t>Polymarket — Copy Lane: 0x418d51e1 (sole survivor of 148)</w:t>
      </w:r>
    </w:p>
    <w:p>
      <w:r>
        <w:rPr>
          <w:b/>
          <w:color w:val="B07A00"/>
          <w:sz w:val="24"/>
        </w:rPr>
        <w:t>STATUS: PAPER — copyable at ≤300s; 2-week forward shadow gates any sizing</w:t>
      </w:r>
    </w:p>
    <w:p>
      <w:r>
        <w:rPr>
          <w:i/>
          <w:sz w:val="17"/>
        </w:rPr>
        <w:t>As of 2026-06-11 · catalog of record: HFT-work/docs/EDGES.md · stance: TRADING_POLICY.md (pro-trading, anti-delusion — the only veto is the data)</w:t>
      </w:r>
    </w:p>
    <w:p>
      <w:pPr>
        <w:pStyle w:val="Heading1"/>
      </w:pPr>
      <w:r>
        <w:t>The trade</w:t>
      </w:r>
    </w:p>
    <w:p>
      <w:r>
        <w:t>Mirror wallet 0x418d51e1's NBA/MLB moneyline value entries (~1 trade/day) with up to 5 minutes of delay. Lag-aware backtest (1-min CLOB history, +1¢ spread crossing, no lookahead): copy +13.5% ROI at BOTH 60s and 300s vs the leader's +14.8% on the same 103 bets — retains 91% of edge because the alpha is SIDE SELECTION, not entry timing.</w:t>
      </w:r>
    </w:p>
    <w:p>
      <w:pPr>
        <w:pStyle w:val="Heading1"/>
      </w:pPr>
      <w:r>
        <w:t>Why it survives when bigger names died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9"/>
              </w:rPr>
              <w:t>Wallet</w:t>
            </w:r>
          </w:p>
        </w:tc>
        <w:tc>
          <w:tcPr>
            <w:tcW w:type="dxa" w:w="4320"/>
          </w:tcPr>
          <w:p>
            <w:r>
              <w:rPr>
                <w:b/>
                <w:sz w:val="19"/>
              </w:rPr>
              <w:t>Copy verdict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0x418d51e1 (n=103)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COPYABLE ≤300s: +13.5% vs +14.8%; slippage 0.5¢, drift negative (value entries)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alwaysfade (n=19 ≥$1k clips)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conditional: +10.1% @60s, delay-flat — n too thin, shadow only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ethanaz (n=944)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DEMOTED: copy −2.6% @60s vs leader +5.3% — post-fill drift IS his alpha; copier pays it</w:t>
            </w:r>
          </w:p>
        </w:tc>
      </w:tr>
    </w:tbl>
    <w:p>
      <w:pPr>
        <w:pStyle w:val="Heading1"/>
      </w:pPr>
      <w:r>
        <w:t>Skeptic / advocate checks</w:t>
      </w:r>
    </w:p>
    <w:p>
      <w:pPr>
        <w:pStyle w:val="ListBullet"/>
      </w:pPr>
      <w:r>
        <w:t>Shuffle (random timing, same sides): +14.8% → alpha is side selection (precisely what makes it copyable).</w:t>
      </w:r>
    </w:p>
    <w:p>
      <w:pPr>
        <w:pStyle w:val="ListBullet"/>
      </w:pPr>
      <w:r>
        <w:t>Beta baseline (buy the favorite at the same times): −0.6% — not favorite-beta.</w:t>
      </w:r>
    </w:p>
    <w:p>
      <w:pPr>
        <w:pStyle w:val="ListBullet"/>
      </w:pPr>
      <w:r>
        <w:t>Open flags: possible insider information channel; n=103; 5s/30s delays unmeasured (tape cap).</w:t>
      </w:r>
    </w:p>
    <w:p>
      <w:pPr>
        <w:pStyle w:val="Heading1"/>
      </w:pPr>
      <w:r>
        <w:t>Gate before any capital</w:t>
      </w:r>
    </w:p>
    <w:p>
      <w:pPr>
        <w:pStyle w:val="ListBullet"/>
      </w:pPr>
      <w:r>
        <w:t>Extend observe:wallet to record detection latency, live ask/spread at +60s/+300s, and leader clip size.</w:t>
      </w:r>
    </w:p>
    <w:p>
      <w:pPr>
        <w:pStyle w:val="ListBullet"/>
      </w:pPr>
      <w:r>
        <w:t>2-week forward shadow with independent resolution; verdict settles on shadow data only.</w:t>
      </w:r>
    </w:p>
    <w:p>
      <w:pPr>
        <w:jc w:val="center"/>
      </w:pPr>
      <w:r>
        <w:rPr>
          <w:i/>
          <w:sz w:val="16"/>
        </w:rPr>
        <w:t>Never claim guaranteed profit · never martingale · forward paper-track with independent resolution beats any in-sample number.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