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0"/>
        </w:rPr>
        <w:t>Edge #1 — Funding Carry on Persistent-Funding Alts</w:t>
      </w:r>
    </w:p>
    <w:p>
      <w:r>
        <w:rPr>
          <w:b/>
          <w:color w:val="1B7A2B"/>
          <w:sz w:val="24"/>
        </w:rPr>
        <w:t>STATUS: LEANS GO (paper → small live)</w:t>
      </w:r>
    </w:p>
    <w:p>
      <w:r>
        <w:rPr>
          <w:i/>
          <w:sz w:val="17"/>
        </w:rPr>
        <w:t>As of 2026-06-11 · catalog of record: HFT-work/docs/EDGES.md · stance: TRADING_POLICY.md (pro-trading, anti-delusion — the only veto is the data)</w:t>
      </w:r>
    </w:p>
    <w:p>
      <w:pPr>
        <w:pStyle w:val="Heading1"/>
      </w:pPr>
      <w:r>
        <w:t>The trade</w:t>
      </w:r>
    </w:p>
    <w:p>
      <w:r>
        <w:t>Delta-neutral carry: short the perp + long spot on alts whose funding is persistently positive, harvesting funding 3×/day while the price legs cancel. The edge is the funding income; the risks are the spot-perp basis and execution cost. Universe selection is the whole game: persistence-ranked names (sign-stability × magnitude ÷ flips) have low turnover, so entry fees are paid rarely while funding is collected many times.</w:t>
      </w:r>
    </w:p>
    <w:p>
      <w:pPr>
        <w:pStyle w:val="Heading1"/>
      </w:pPr>
      <w:r>
        <w:t>Evidence (full gauntlet)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Test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Lake backtest, 28 high-funding alts, 500d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every variant positive; best +22% APR, Sharpe 8.07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Walk-forward OOS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held (OOS Sharpe 7.51)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PBO / DSR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0.00 / 1.00 — not overfit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Basis-aware re-test (real spot+perp)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Sharpe 10.8 → 6.7 (~38% haircut) — real but survives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Data-measured fee (20% L2 fill → 4.22bp/leg)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+37% APR, Sharpe 7.7 — survives 4× realistic fees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Advisor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BUY (92/100)</w:t>
            </w:r>
          </w:p>
        </w:tc>
      </w:tr>
    </w:tbl>
    <w:p>
      <w:pPr>
        <w:pStyle w:val="Heading1"/>
      </w:pPr>
      <w:r>
        <w:t>Caveats &amp; falsifiers</w:t>
      </w:r>
    </w:p>
    <w:p>
      <w:pPr>
        <w:pStyle w:val="ListBullet"/>
      </w:pPr>
      <w:r>
        <w:t>Gate on DURABLE (median) funding, never the mean — spike-inflated means are uncollectable (AZTEC mean +26% vs median +11%).</w:t>
      </w:r>
    </w:p>
    <w:p>
      <w:pPr>
        <w:pStyle w:val="ListBullet"/>
      </w:pPr>
      <w:r>
        <w:t>Fill-rate calibrated on liquid dYdX majors → optimistic for the alts actually traded.</w:t>
      </w:r>
    </w:p>
    <w:p>
      <w:pPr>
        <w:pStyle w:val="ListBullet"/>
      </w:pPr>
      <w:r>
        <w:t>Basis blowout in a squeeze is the tail risk; borrow availability is why funding is high.</w:t>
      </w:r>
    </w:p>
    <w:p>
      <w:pPr>
        <w:pStyle w:val="ListBullet"/>
      </w:pPr>
      <w:r>
        <w:t>Execution wall (2026-06-05): 0 carries executable on Hyperliquid (no spot borrow; +11%/hr funding floor → +8% net, under the bar). Needs Binance-global proxy or dYdX legs.</w:t>
      </w:r>
    </w:p>
    <w:p>
      <w:pPr>
        <w:pStyle w:val="ListBullet"/>
      </w:pPr>
      <w:r>
        <w:t>Stays paper until a name clears durable funding &gt; ~+16% APR with a deep same-asset hedge.</w:t>
      </w:r>
    </w:p>
    <w:p>
      <w:pPr>
        <w:pStyle w:val="Heading1"/>
      </w:pPr>
      <w:r>
        <w:t>Tooling</w:t>
      </w:r>
    </w:p>
    <w:p>
      <w:r>
        <w:t>discover:high-funding → fetch:funding:binance → discover:funding-persistence → backtest:carry-neutral → backtest:basis → carry:maker-fill · forward: carry:monitor (hourly cron).</w:t>
      </w:r>
    </w:p>
    <w:p>
      <w:pPr>
        <w:jc w:val="center"/>
      </w:pPr>
      <w:r>
        <w:rPr>
          <w:i/>
          <w:sz w:val="16"/>
        </w:rPr>
        <w:t>Never claim guaranteed profit · never martingale · forward paper-track with independent resolution beats any in-sample number.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