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Adjacent — Staking-Hedged Yield Carry</w:t>
      </w:r>
    </w:p>
    <w:p>
      <w:r>
        <w:rPr>
          <w:b/>
          <w:color w:val="B07A00"/>
          <w:sz w:val="24"/>
        </w:rPr>
        <w:t>STATUS: PAPER (real structural carry, inflated headline)</w:t>
      </w:r>
    </w:p>
    <w:p>
      <w:r>
        <w:rPr>
          <w:i/>
          <w:sz w:val="17"/>
        </w:rPr>
        <w:t>As of 2026-06-11 · catalog of record: HFT-work/docs/EDGES.md · stance: TRADING_POLICY.md (pro-trading, anti-delusion — the only veto is the data)</w:t>
      </w:r>
    </w:p>
    <w:p>
      <w:pPr>
        <w:pStyle w:val="Heading1"/>
      </w:pPr>
      <w:r>
        <w:t>The trade</w:t>
      </w:r>
    </w:p>
    <w:p>
      <w:r>
        <w:t>Stake ETH/SOL (~3.2%/7% APY), short the perp to hedge price → delta-neutral staking yield; the short also collects positive funding when present. ~5–6% net APR, fee-robust (survives 150 bps/yr drag).</w:t>
      </w:r>
    </w:p>
    <w:p>
      <w:pPr>
        <w:pStyle w:val="Heading1"/>
      </w:pPr>
      <w:r>
        <w:t>Caveats &amp; falsifiers</w:t>
      </w:r>
    </w:p>
    <w:p>
      <w:pPr>
        <w:pStyle w:val="ListBullet"/>
      </w:pPr>
      <w:r>
        <w:t>Headline Sharpe (~14) is inflated: models staking as riskless.</w:t>
      </w:r>
    </w:p>
    <w:p>
      <w:pPr>
        <w:pStyle w:val="ListBullet"/>
      </w:pPr>
      <w:r>
        <w:t>ETH unbond-queue illiquidity: can't unwind the hedge against a leg you can't exit for days/weeks.</w:t>
      </w:r>
    </w:p>
    <w:p>
      <w:pPr>
        <w:pStyle w:val="ListBullet"/>
      </w:pPr>
      <w:r>
        <w:t>Slashing, LST depeg, tracking error are real and unmodeled.</w:t>
      </w:r>
    </w:p>
    <w:p>
      <w:pPr>
        <w:pStyle w:val="Heading1"/>
      </w:pPr>
      <w:r>
        <w:t>Tooling</w:t>
      </w:r>
    </w:p>
    <w:p>
      <w:r>
        <w:t>scripts/_carry-staking-hedged-yield.ts</w:t>
      </w:r>
    </w:p>
    <w:p>
      <w:pPr>
        <w:jc w:val="center"/>
      </w:pPr>
      <w:r>
        <w:rPr>
          <w:i/>
          <w:sz w:val="16"/>
        </w:rPr>
        <w:t>Never claim guaranteed profit · never martingale · forward paper-track with independent resolution beats any in-sample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