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55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loop, </w:t>
      </w:r>
      <w:r>
        <w:rPr>
          <w:b/>
        </w:rPr>
        <w:t>then adversarially audited (Case 52)</w:t>
      </w:r>
      <w:r>
        <w:rPr>
          <w:b w:val="0"/>
        </w:rPr>
        <w:t xml:space="preserve"> — the</w:t>
      </w:r>
    </w:p>
    <w:p>
      <w:r>
        <w:rPr>
          <w:b w:val="0"/>
        </w:rPr>
        <w:t>honest scoreboard is humbler than the in-flight headlines: **exactly ONE thin, regime-dependent edge</w:t>
      </w:r>
    </w:p>
    <w:p>
      <w:r>
        <w:rPr>
          <w:b w:val="0"/>
        </w:rPr>
        <w:t>(cointegrated-pairs basket), and zero new edges have cleared the project's own out-of-universe +</w:t>
      </w:r>
    </w:p>
    <w:p>
      <w:r>
        <w:rPr>
          <w:b w:val="0"/>
        </w:rPr>
        <w:t>out-of-regime bar.**</w:t>
      </w:r>
    </w:p>
    <w:p>
      <w:pPr>
        <w:pStyle w:val="ListBullet"/>
      </w:pPr>
      <w:r>
        <w:rPr>
          <w:b/>
        </w:rPr>
        <w:t>Pairs basket</w:t>
      </w:r>
      <w:r>
        <w:rPr>
          <w:b w:val="0"/>
        </w:rPr>
        <w:t xml:space="preserve"> — WF Sharpe </w:t>
      </w:r>
      <w:r>
        <w:rPr>
          <w:b/>
        </w:rPr>
        <w:t>0.83</w:t>
      </w:r>
      <w:r>
        <w:rPr>
          <w:b w:val="0"/>
        </w:rPr>
        <w:t xml:space="preserve"> is real but </w:t>
      </w:r>
      <w:r>
        <w:rPr>
          <w:b/>
        </w:rPr>
        <w:t>regime-front-loaded</w:t>
      </w:r>
      <w:r>
        <w:rPr>
          <w:b w:val="0"/>
        </w:rPr>
        <w:t xml:space="preserve"> (first-half 0.27, CI straddles</w:t>
      </w:r>
    </w:p>
    <w:p>
      <w:r>
        <w:rPr>
          <w:b w:val="0"/>
        </w:rPr>
        <w:t xml:space="preserve">  zero; second-half 1.39; 2022 −0.9; strip 10 of 945 days → 0.16) and </w:t>
      </w:r>
      <w:r>
        <w:rPr>
          <w:b/>
        </w:rPr>
        <w:t>cadence-dependent</w:t>
      </w:r>
      <w:r>
        <w:rPr>
          <w:b w:val="0"/>
        </w:rPr>
        <w:t xml:space="preserve"> (train</w:t>
      </w:r>
    </w:p>
    <w:p>
      <w:r>
        <w:rPr>
          <w:b w:val="0"/>
        </w:rPr>
        <w:t xml:space="preserve">  252→378 → −1.42). Forward-honest expectation </w:t>
      </w:r>
      <w:r>
        <w:rPr>
          <w:b/>
        </w:rPr>
        <w:t>~0.3–0.5</w:t>
      </w:r>
      <w:r>
        <w:rPr>
          <w:b w:val="0"/>
        </w:rPr>
        <w:t>, *not* 0.83. Survivorship-robust (Case 46).</w:t>
      </w:r>
    </w:p>
    <w:p>
      <w:r>
        <w:rPr>
          <w:b w:val="0"/>
        </w:rPr>
        <w:t xml:space="preserve">  The deployed core, but "0.83" oversells it.</w:t>
      </w:r>
    </w:p>
    <w:p>
      <w:pPr>
        <w:pStyle w:val="ListBullet"/>
      </w:pPr>
      <w:r>
        <w:rPr>
          <w:b/>
        </w:rPr>
        <w:t>Short-vol / VRP</w:t>
      </w:r>
      <w:r>
        <w:rPr>
          <w:b w:val="0"/>
        </w:rPr>
        <w:t xml:space="preserve"> *looked* like the first real second leg (Case 49: combined 1.08, ρ=0.04) — but the</w:t>
      </w:r>
    </w:p>
    <w:p>
      <w:r>
        <w:rPr>
          <w:b w:val="0"/>
        </w:rPr>
        <w:t xml:space="preserve">  audit showed the </w:t>
      </w:r>
      <w:r>
        <w:rPr>
          <w:b/>
        </w:rPr>
        <w:t>lift is entirely a 2022–23 vol-crush artifact</w:t>
      </w:r>
      <w:r>
        <w:rPr>
          <w:b w:val="0"/>
        </w:rPr>
        <w:t>: pre-2024 book lift +0.92, **since</w:t>
      </w:r>
    </w:p>
    <w:p>
      <w:r>
        <w:rPr>
          <w:b w:val="0"/>
        </w:rPr>
        <w:t xml:space="preserve">  2024 the lift is −0.27</w:t>
      </w:r>
      <w:r>
        <w:rPr>
          <w:b/>
        </w:rPr>
        <w:t xml:space="preserve"> (it *drags* the book). </w:t>
      </w:r>
      <w:r>
        <w:rPr>
          <w:b w:val="0"/>
        </w:rPr>
        <w:t>Not a current diversifier;** on the forward track at a</w:t>
      </w:r>
    </w:p>
    <w:p>
      <w:r>
        <w:rPr>
          <w:b w:val="0"/>
        </w:rPr>
        <w:t xml:space="preserve">  tiny tail-capped weight only to observe.</w:t>
      </w:r>
    </w:p>
    <w:p>
      <w:pPr>
        <w:pStyle w:val="ListBullet"/>
      </w:pPr>
      <w:r>
        <w:rPr>
          <w:b w:val="0"/>
        </w:rPr>
        <w:t>Value (survivorship artifact, Case 43), momentum (dilutes / gate-flip-on-recency, Cases 47/52),</w:t>
      </w:r>
    </w:p>
    <w:p>
      <w:r>
        <w:rPr>
          <w:b w:val="0"/>
        </w:rPr>
        <w:t xml:space="preserve">  seasonality (partial-year artifact, Case 48), cross-asset trend (timing illusory, Case 51) — **all</w:t>
      </w:r>
    </w:p>
    <w:p>
      <w:r>
        <w:rPr>
          <w:b w:val="0"/>
        </w:rPr>
        <w:t xml:space="preserve">  rejected**, each on a different honest gate.</w:t>
      </w:r>
    </w:p>
    <w:p>
      <w:r>
        <w:rPr>
          <w:b w:val="0"/>
        </w:rPr>
        <w:t>That is not a failure of the project — it *is* the project. The deliverable is a harness whose job is to</w:t>
      </w:r>
    </w:p>
    <w:p>
      <w:r>
        <w:rPr>
          <w:b/>
        </w:rPr>
        <w:t>reject</w:t>
      </w:r>
      <w:r>
        <w:rPr>
          <w:b w:val="0"/>
        </w:rPr>
        <w:t xml:space="preserve"> edges that don't generalize *and to catch its own overselling* — which Case 52 did, on our own</w:t>
      </w:r>
    </w:p>
    <w:p>
      <w:r>
        <w:rPr>
          <w:b w:val="0"/>
        </w:rPr>
        <w:t>claims. Sized to Kelly, a thin regime-dependent ~0.3–0.5 market-neutral core is still genuinely useful;</w:t>
      </w:r>
    </w:p>
    <w:p>
      <w:r>
        <w:rPr>
          <w:b w:val="0"/>
        </w:rPr>
        <w:t xml:space="preserve">the lever for *more* is a </w:t>
      </w:r>
      <w:r>
        <w:rPr>
          <w:b/>
        </w:rPr>
        <w:t>genuinely uncorrelated additional axis</w:t>
      </w:r>
      <w:r>
        <w:rPr>
          <w:b w:val="0"/>
        </w:rPr>
        <w:t xml:space="preserve"> (ideally a long-vol/convexity sleeve</w:t>
      </w:r>
    </w:p>
    <w:p>
      <w:r>
        <w:rPr>
          <w:b w:val="0"/>
        </w:rPr>
        <w:t>that actually hedges the short-vol crash the correlation analysis proved is undiversified), each cleared</w:t>
      </w:r>
    </w:p>
    <w:p>
      <w:r>
        <w:rPr>
          <w:b w:val="0"/>
        </w:rPr>
        <w:t>through the out-of-universe + out-of-regime bar — not another in-sample lift.</w:t>
      </w:r>
    </w:p>
    <w:p/>
    <w:p>
      <w:pPr>
        <w:pStyle w:val="Heading2"/>
      </w:pPr>
      <w:r>
        <w:t>The scoreboard (55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 </w:t>
      </w:r>
      <w:r>
        <w:rPr>
          <w:b/>
        </w:rPr>
        <w:t>Now SURVIVORSHIP-STAMPED (Case 46):</w:t>
      </w:r>
    </w:p>
    <w:p>
      <w:r>
        <w:rPr>
          <w:b w:val="0"/>
        </w:rPr>
        <w:t xml:space="preserve">  re-run on a point-in-time large-cap universe (195 survivors + 32 representative delistings, SIP feed,</w:t>
      </w:r>
    </w:p>
    <w:p>
      <w:r>
        <w:rPr>
          <w:b w:val="0"/>
        </w:rPr>
        <w:t xml:space="preserve">  via a new delisting-aware walk-forward), the WF is </w:t>
      </w:r>
      <w:r>
        <w:rPr>
          <w:b/>
        </w:rPr>
        <w:t>+0.83 → +0.94</w:t>
      </w:r>
      <w:r>
        <w:rPr>
          <w:b w:val="0"/>
        </w:rPr>
        <w:t xml:space="preserve"> — robust, not inflated. The same</w:t>
      </w:r>
    </w:p>
    <w:p>
      <w:r>
        <w:rPr>
          <w:b w:val="0"/>
        </w:rPr>
        <w:t xml:space="preserve">  test that demoted value and right-sized momentum *clears the deployed edge.*</w:t>
      </w:r>
    </w:p>
    <w:p>
      <w:r>
        <w:rPr>
          <w:b/>
        </w:rPr>
        <w:t>🟡→❌ Short-volatility / VRP — looked like a second leg, DOWNGRADED by the audit (Cases 49→52):</w:t>
      </w:r>
      <w:r>
        <w:rPr>
          <w:b w:val="0"/>
        </w:rPr>
        <w:t xml:space="preserve"> the</w:t>
      </w:r>
    </w:p>
    <w:p>
      <w:r>
        <w:rPr>
          <w:b w:val="0"/>
        </w:rPr>
        <w:t xml:space="preserve">borrow-free </w:t>
      </w:r>
      <w:r>
        <w:rPr>
          <w:b/>
        </w:rPr>
        <w:t>long-SVXY</w:t>
      </w:r>
      <w:r>
        <w:rPr>
          <w:b w:val="0"/>
        </w:rPr>
        <w:t xml:space="preserve"> sleeve *appeared* to clear every gate (Case 49: combined 1.08, ρ=0.04, "6/6</w:t>
      </w:r>
    </w:p>
    <w:p>
      <w:r>
        <w:rPr>
          <w:b w:val="0"/>
        </w:rPr>
        <w:t>positive years") and survived a simulated-volmageddon tail-stress at an 8% cap (Case 50, still valid: a</w:t>
      </w:r>
    </w:p>
    <w:p>
      <w:r>
        <w:rPr>
          <w:b w:val="0"/>
        </w:rPr>
        <w:t>−50% SVXY day → only −7.9% combined drawdown — the sizing is genuine tail management). **But the</w:t>
      </w:r>
    </w:p>
    <w:p>
      <w:r>
        <w:rPr>
          <w:b w:val="0"/>
        </w:rPr>
        <w:t>adversarial audit (Case 52) refuted the *diversification*:</w:t>
      </w:r>
      <w:r>
        <w:rPr>
          <w:b/>
        </w:rPr>
        <w:t xml:space="preserve"> the entire lift is the </w:t>
      </w:r>
      <w:r>
        <w:rPr>
          <w:b w:val="0"/>
        </w:rPr>
        <w:t>2022–23 vol-crush**</w:t>
      </w:r>
    </w:p>
    <w:p>
      <w:r>
        <w:rPr>
          <w:b w:val="0"/>
        </w:rPr>
        <w:t xml:space="preserve">(pre-2024 book lift +0.92, short-vol standalone +2.17), and </w:t>
      </w:r>
      <w:r>
        <w:rPr>
          <w:b/>
        </w:rPr>
        <w:t>since 2024 the lift is −0.27</w:t>
      </w:r>
      <w:r>
        <w:rPr>
          <w:b w:val="0"/>
        </w:rPr>
        <w:t xml:space="preserve"> — the leg</w:t>
      </w:r>
    </w:p>
    <w:p>
      <w:r>
        <w:rPr>
          <w:b w:val="0"/>
        </w:rPr>
        <w:t>*drags* the book. The "6/6 years" was the *standalone* calendar Sharpe, masking the negative *book* lift;</w:t>
      </w:r>
    </w:p>
    <w:p>
      <w:r>
        <w:rPr>
          <w:b w:val="0"/>
        </w:rPr>
        <w:t>ρ≈0 is real and stress-stable but "uncorrelated ≠ hedged" (pairs is dead weight in a vol spike, so the</w:t>
      </w:r>
    </w:p>
    <w:p>
      <w:r>
        <w:rPr>
          <w:b w:val="0"/>
        </w:rPr>
        <w:t xml:space="preserve">combined tail is short-vol's). </w:t>
      </w:r>
      <w:r>
        <w:rPr>
          <w:b/>
        </w:rPr>
        <w:t>Net: NOT a current diversifier.</w:t>
      </w:r>
      <w:r>
        <w:rPr>
          <w:b w:val="0"/>
        </w:rPr>
        <w:t xml:space="preserve"> Kept on the forward track at the tiny</w:t>
      </w:r>
    </w:p>
    <w:p>
      <w:r>
        <w:rPr>
          <w:b w:val="0"/>
        </w:rPr>
        <w:t>8% tail-cap purely to observe whether the VRP regime returns — not counted as a validated leg.</w:t>
      </w:r>
    </w:p>
    <w:p>
      <w:r>
        <w:rPr>
          <w:b/>
        </w:rPr>
        <w:t>🚀 On a forward paper-track (sized tiny, low expectations):</w:t>
      </w:r>
      <w:r>
        <w:rPr>
          <w:b w:val="0"/>
        </w:rPr>
        <w:t xml:space="preserve"> the borrow-free **long/index-hedged</w:t>
      </w:r>
    </w:p>
    <w:p>
      <w:r>
        <w:rPr>
          <w:b w:val="0"/>
        </w:rPr>
        <w:t>momentum sleeve</w:t>
      </w:r>
      <w:r>
        <w:rPr>
          <w:b/>
        </w:rPr>
        <w:t xml:space="preserve"> is wired into the daily `com.alpca.forwardtrack` job alongside the pairs basket. </w:t>
      </w:r>
      <w:r>
        <w:rPr>
          <w:b w:val="0"/>
        </w:rPr>
        <w:t>But</w:t>
      </w:r>
    </w:p>
    <w:p>
      <w:r>
        <w:rPr>
          <w:b w:val="0"/>
        </w:rPr>
        <w:t>the honest two-sleeve combiner (Case 47) shows it does NOT help:** done apples-to-apples (walk-forward</w:t>
      </w:r>
    </w:p>
    <w:p>
      <w:r>
        <w:rPr>
          <w:b w:val="0"/>
        </w:rPr>
        <w:t xml:space="preserve">pairs OOS + same-date momentum), the momentum sleeve is </w:t>
      </w:r>
      <w:r>
        <w:rPr>
          <w:b/>
        </w:rPr>
        <w:t>negative over 2022–2026</w:t>
      </w:r>
      <w:r>
        <w:rPr>
          <w:b w:val="0"/>
        </w:rPr>
        <w:t xml:space="preserve"> (its ~0.21 was carried</w:t>
      </w:r>
    </w:p>
    <w:p>
      <w:r>
        <w:rPr>
          <w:b w:val="0"/>
        </w:rPr>
        <w:t>by 2021, which the pairs WF excludes), so the inverse-vol combined book (</w:t>
      </w:r>
      <w:r>
        <w:rPr>
          <w:b/>
        </w:rPr>
        <w:t>0.47</w:t>
      </w:r>
      <w:r>
        <w:rPr>
          <w:b w:val="0"/>
        </w:rPr>
        <w:t>) is *below* pairs-alone</w:t>
      </w:r>
    </w:p>
    <w:p>
      <w:r>
        <w:rPr>
          <w:b w:val="0"/>
        </w:rPr>
        <w:t>(</w:t>
      </w:r>
      <w:r>
        <w:rPr>
          <w:b/>
        </w:rPr>
        <w:t>0.83</w:t>
      </w:r>
      <w:r>
        <w:rPr>
          <w:b w:val="0"/>
        </w:rPr>
        <w:t xml:space="preserve">). ρ≈0 doesn't save a negative leg. </w:t>
      </w:r>
      <w:r>
        <w:rPr>
          <w:b/>
        </w:rPr>
        <w:t>Deploy the pairs basket alone;</w:t>
      </w:r>
      <w:r>
        <w:rPr>
          <w:b w:val="0"/>
        </w:rPr>
        <w:t xml:space="preserve"> the forward track runs</w:t>
      </w:r>
    </w:p>
    <w:p>
      <w:r>
        <w:rPr>
          <w:b w:val="0"/>
        </w:rPr>
        <w:t>only to let live reality confirm or refute, sized tiny. The combiner stays edge-supply-limited.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</w:t>
      </w:r>
      <w:r>
        <w:rPr>
          <w:b/>
        </w:rPr>
        <w:t xml:space="preserve"> </w:t>
      </w:r>
      <w:r>
        <w:rPr>
          <w:b w:val="0"/>
        </w:rPr>
        <w:t>Update (Case 47):** the</w:t>
      </w:r>
    </w:p>
    <w:p>
      <w:r>
        <w:rPr>
          <w:b w:val="0"/>
        </w:rPr>
        <w:t xml:space="preserve">  *deployable* borrow-free long/index-hedge form is **negative over the pairs walk-forward's OOS window</w:t>
      </w:r>
    </w:p>
    <w:p>
      <w:r>
        <w:rPr>
          <w:b w:val="0"/>
        </w:rPr>
        <w:t xml:space="preserve">  (2022–2026)** — its ~0.2 was carried by 2021 — so the honest two-sleeve combiner *dilutes* (0.47 &lt;</w:t>
      </w:r>
    </w:p>
    <w:p>
      <w:r>
        <w:rPr>
          <w:b w:val="0"/>
        </w:rPr>
        <w:t xml:space="preserve">  pairs-alone 0.83). The ~0.4 is the full-period borrow-aware L/S; it does </w:t>
      </w:r>
      <w:r>
        <w:rPr>
          <w:b/>
        </w:rPr>
        <w:t>not</w:t>
      </w:r>
      <w:r>
        <w:rPr>
          <w:b w:val="0"/>
        </w:rPr>
        <w:t xml:space="preserve"> translate into a</w:t>
      </w:r>
    </w:p>
    <w:p>
      <w:r>
        <w:rPr>
          <w:b w:val="0"/>
        </w:rPr>
        <w:t xml:space="preserve">  deployable, positive-over-the-relevant-window sleeve. The arc is itself the lesson: a cherry-picked</w:t>
      </w:r>
    </w:p>
    <w:p>
      <w:r>
        <w:rPr>
          <w:b w:val="0"/>
        </w:rPr>
        <w:t xml:space="preserve">  survivorship "fix" was a bias in the opposite direction; only the full outcome-blind PIT universe gave</w:t>
      </w:r>
    </w:p>
    <w:p>
      <w:r>
        <w:rPr>
          <w:b w:val="0"/>
        </w:rPr>
        <w:t xml:space="preserve">  the honest number. </w:t>
      </w:r>
      <w:r>
        <w:rPr>
          <w:b/>
        </w:rPr>
        <w:t>Still one validated+deployed edge (pairs); no positive second leg yet.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real + uncorrelated but not robust (1):</w:t>
      </w:r>
    </w:p>
    <w:p>
      <w:pPr>
        <w:pStyle w:val="ListBullet"/>
      </w:pPr>
      <w:r>
        <w:rPr>
          <w:b/>
        </w:rPr>
        <w:t>Cross-sectional calendar seasonality (Heston-Sadka, Case 48)</w:t>
      </w:r>
      <w:r>
        <w:rPr>
          <w:b w:val="0"/>
        </w:rPr>
        <w:t xml:space="preserve"> — mid-cap same-month signal is uncorrelated with pairs (ρ=0.06) and looked positive over the OOS window (+0.35), but per-year it's +2023/+2024 then −2025/−2026; the combiner lift (0.83→0.88) was a partial-2026 artifact that *reverses* to a dilution once 2026 is excluded. 5yr is too little history for a calendar premium.</w:t>
      </w:r>
    </w:p>
    <w:p>
      <w:r>
        <w:rPr>
          <w:b/>
        </w:rPr>
        <w:t>❌ Rejected — appealing thesis, falsified (1):</w:t>
      </w:r>
    </w:p>
    <w:p>
      <w:pPr>
        <w:pStyle w:val="ListBullet"/>
      </w:pPr>
      <w:r>
        <w:rPr>
          <w:b/>
        </w:rPr>
        <w:t>Cross-asset trend / managed-futures (Case 51)</w:t>
      </w:r>
      <w:r>
        <w:rPr>
          <w:b w:val="0"/>
        </w:rPr>
        <w:t xml:space="preserve"> — the would-be short-vol crash-hedge: trend Sharpe 0.31 LOST to buy-and-hold (0.82) and long-only-no-timing (1.12) → timing is illusory; negative in 2022–2023 (crisis-alpha thesis failed); ρ=+0.17 with short-vol and loses on its worst days (no hedge); 3-leg combiner dilutes (0.93&lt;1.07).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