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</w:t>
      </w:r>
      <w:r>
        <w:rPr>
          <w:b/>
        </w:rPr>
        <w:t>A real, tradeable, market-neutral earnings alpha — the rescue of PEAD.</w:t>
      </w:r>
    </w:p>
    <w:p>
      <w:r>
        <w:rPr>
          <w:b w:val="0"/>
        </w:rPr>
        <w:t xml:space="preserve">  Caveats kept honest: only 40 symbols and one (bull-ish) 5-yr regime — but the beta hedge removes</w:t>
      </w:r>
    </w:p>
    <w:p>
      <w:r>
        <w:rPr>
          <w:b w:val="0"/>
        </w:rPr>
        <w:t xml:space="preserve">  the bull tailwind and it *still* survives OOS; the hedge ratio is full-sample (mild optimism).</w:t>
      </w:r>
    </w:p>
    <w:p>
      <w:r>
        <w:rPr>
          <w:b w:val="0"/>
        </w:rPr>
        <w:t xml:space="preserve">  DSR 0.89 sits just under the 0.95 bar — the `avearnings` job filling the universe to 195 is the</w:t>
      </w:r>
    </w:p>
    <w:p>
      <w:r>
        <w:rPr>
          <w:b w:val="0"/>
        </w:rPr>
        <w:t xml:space="preserve">  direct route over it. </w:t>
      </w:r>
      <w:r>
        <w:rPr>
          <w:b/>
        </w:rPr>
        <w:t>Next:</w:t>
      </w:r>
      <w:r>
        <w:rPr>
          <w:b w:val="0"/>
        </w:rPr>
        <w:t xml:space="preserve"> confirm at full breadth, then add as the combiner's 2nd leg.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