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53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loop, </w:t>
      </w:r>
      <w:r>
        <w:rPr>
          <w:b/>
        </w:rPr>
        <w:t>then adversarially audited (Case 52)</w:t>
      </w:r>
      <w:r>
        <w:rPr>
          <w:b w:val="0"/>
        </w:rPr>
        <w:t xml:space="preserve"> — the</w:t>
      </w:r>
    </w:p>
    <w:p>
      <w:r>
        <w:rPr>
          <w:b w:val="0"/>
        </w:rPr>
        <w:t>honest scoreboard is humbler than the in-flight headlines: **exactly ONE thin, regime-dependent edge</w:t>
      </w:r>
    </w:p>
    <w:p>
      <w:r>
        <w:rPr>
          <w:b w:val="0"/>
        </w:rPr>
        <w:t>(cointegrated-pairs basket), and zero new edges have cleared the project's own out-of-universe +</w:t>
      </w:r>
    </w:p>
    <w:p>
      <w:r>
        <w:rPr>
          <w:b w:val="0"/>
        </w:rPr>
        <w:t>out-of-regime bar.**</w:t>
      </w:r>
    </w:p>
    <w:p>
      <w:pPr>
        <w:pStyle w:val="ListBullet"/>
      </w:pPr>
      <w:r>
        <w:rPr>
          <w:b/>
        </w:rPr>
        <w:t>Pairs basket</w:t>
      </w:r>
      <w:r>
        <w:rPr>
          <w:b w:val="0"/>
        </w:rPr>
        <w:t xml:space="preserve"> — WF Sharpe </w:t>
      </w:r>
      <w:r>
        <w:rPr>
          <w:b/>
        </w:rPr>
        <w:t>0.83</w:t>
      </w:r>
      <w:r>
        <w:rPr>
          <w:b w:val="0"/>
        </w:rPr>
        <w:t xml:space="preserve"> is real but </w:t>
      </w:r>
      <w:r>
        <w:rPr>
          <w:b/>
        </w:rPr>
        <w:t>regime-front-loaded</w:t>
      </w:r>
      <w:r>
        <w:rPr>
          <w:b w:val="0"/>
        </w:rPr>
        <w:t xml:space="preserve"> (first-half 0.27, CI straddles</w:t>
      </w:r>
    </w:p>
    <w:p>
      <w:r>
        <w:rPr>
          <w:b w:val="0"/>
        </w:rPr>
        <w:t xml:space="preserve">  zero; second-half 1.39; 2022 −0.9; strip 10 of 945 days → 0.16) and </w:t>
      </w:r>
      <w:r>
        <w:rPr>
          <w:b/>
        </w:rPr>
        <w:t>cadence-dependent</w:t>
      </w:r>
      <w:r>
        <w:rPr>
          <w:b w:val="0"/>
        </w:rPr>
        <w:t xml:space="preserve"> (train</w:t>
      </w:r>
    </w:p>
    <w:p>
      <w:r>
        <w:rPr>
          <w:b w:val="0"/>
        </w:rPr>
        <w:t xml:space="preserve">  252→378 → −1.42). Forward-honest expectation </w:t>
      </w:r>
      <w:r>
        <w:rPr>
          <w:b/>
        </w:rPr>
        <w:t>~0.3–0.5</w:t>
      </w:r>
      <w:r>
        <w:rPr>
          <w:b w:val="0"/>
        </w:rPr>
        <w:t>, *not* 0.83. Survivorship-robust (Case 46).</w:t>
      </w:r>
    </w:p>
    <w:p>
      <w:r>
        <w:rPr>
          <w:b w:val="0"/>
        </w:rPr>
        <w:t xml:space="preserve">  The deployed core, but "0.83" oversells it.</w:t>
      </w:r>
    </w:p>
    <w:p>
      <w:pPr>
        <w:pStyle w:val="ListBullet"/>
      </w:pPr>
      <w:r>
        <w:rPr>
          <w:b/>
        </w:rPr>
        <w:t>Short-vol / VRP</w:t>
      </w:r>
      <w:r>
        <w:rPr>
          <w:b w:val="0"/>
        </w:rPr>
        <w:t xml:space="preserve"> *looked* like the first real second leg (Case 49: combined 1.08, ρ=0.04) — but the</w:t>
      </w:r>
    </w:p>
    <w:p>
      <w:r>
        <w:rPr>
          <w:b w:val="0"/>
        </w:rPr>
        <w:t xml:space="preserve">  audit showed the </w:t>
      </w:r>
      <w:r>
        <w:rPr>
          <w:b/>
        </w:rPr>
        <w:t>lift is entirely a 2022–23 vol-crush artifact</w:t>
      </w:r>
      <w:r>
        <w:rPr>
          <w:b w:val="0"/>
        </w:rPr>
        <w:t>: pre-2024 book lift +0.92, **since</w:t>
      </w:r>
    </w:p>
    <w:p>
      <w:r>
        <w:rPr>
          <w:b w:val="0"/>
        </w:rPr>
        <w:t xml:space="preserve">  2024 the lift is −0.27</w:t>
      </w:r>
      <w:r>
        <w:rPr>
          <w:b/>
        </w:rPr>
        <w:t xml:space="preserve"> (it *drags* the book). </w:t>
      </w:r>
      <w:r>
        <w:rPr>
          <w:b w:val="0"/>
        </w:rPr>
        <w:t>Not a current diversifier;** on the forward track at a</w:t>
      </w:r>
    </w:p>
    <w:p>
      <w:r>
        <w:rPr>
          <w:b w:val="0"/>
        </w:rPr>
        <w:t xml:space="preserve">  tiny tail-capped weight only to observe.</w:t>
      </w:r>
    </w:p>
    <w:p>
      <w:pPr>
        <w:pStyle w:val="ListBullet"/>
      </w:pPr>
      <w:r>
        <w:rPr>
          <w:b w:val="0"/>
        </w:rPr>
        <w:t>Value (survivorship artifact, Case 43), momentum (dilutes / gate-flip-on-recency, Cases 47/52),</w:t>
      </w:r>
    </w:p>
    <w:p>
      <w:r>
        <w:rPr>
          <w:b w:val="0"/>
        </w:rPr>
        <w:t xml:space="preserve">  seasonality (partial-year artifact, Case 48), cross-asset trend (timing illusory, Case 51) — **all</w:t>
      </w:r>
    </w:p>
    <w:p>
      <w:r>
        <w:rPr>
          <w:b w:val="0"/>
        </w:rPr>
        <w:t xml:space="preserve">  rejected**, each on a different honest gate.</w:t>
      </w:r>
    </w:p>
    <w:p>
      <w:r>
        <w:rPr>
          <w:b w:val="0"/>
        </w:rPr>
        <w:t>That is not a failure of the project — it *is* the project. The deliverable is a harness whose job is to</w:t>
      </w:r>
    </w:p>
    <w:p>
      <w:r>
        <w:rPr>
          <w:b/>
        </w:rPr>
        <w:t>reject</w:t>
      </w:r>
      <w:r>
        <w:rPr>
          <w:b w:val="0"/>
        </w:rPr>
        <w:t xml:space="preserve"> edges that don't generalize *and to catch its own overselling* — which Case 52 did, on our own</w:t>
      </w:r>
    </w:p>
    <w:p>
      <w:r>
        <w:rPr>
          <w:b w:val="0"/>
        </w:rPr>
        <w:t>claims. Sized to Kelly, a thin regime-dependent ~0.3–0.5 market-neutral core is still genuinely useful;</w:t>
      </w:r>
    </w:p>
    <w:p>
      <w:r>
        <w:rPr>
          <w:b w:val="0"/>
        </w:rPr>
        <w:t xml:space="preserve">the lever for *more* is a </w:t>
      </w:r>
      <w:r>
        <w:rPr>
          <w:b/>
        </w:rPr>
        <w:t>genuinely uncorrelated additional axis</w:t>
      </w:r>
      <w:r>
        <w:rPr>
          <w:b w:val="0"/>
        </w:rPr>
        <w:t xml:space="preserve"> (ideally a long-vol/convexity sleeve</w:t>
      </w:r>
    </w:p>
    <w:p>
      <w:r>
        <w:rPr>
          <w:b w:val="0"/>
        </w:rPr>
        <w:t>that actually hedges the short-vol crash the correlation analysis proved is undiversified), each cleared</w:t>
      </w:r>
    </w:p>
    <w:p>
      <w:r>
        <w:rPr>
          <w:b w:val="0"/>
        </w:rPr>
        <w:t>through the out-of-universe + out-of-regime bar — not another in-sample lift.</w:t>
      </w:r>
    </w:p>
    <w:p/>
    <w:p>
      <w:pPr>
        <w:pStyle w:val="Heading2"/>
      </w:pPr>
      <w:r>
        <w:t>The scoreboard (53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+0.94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🟡→❌ Short-volatility / VRP — looked like a second leg, DOWNGRADED by the audit (Cases 49→52):</w:t>
      </w:r>
      <w:r>
        <w:rPr>
          <w:b w:val="0"/>
        </w:rPr>
        <w:t xml:space="preserve"> the</w:t>
      </w:r>
    </w:p>
    <w:p>
      <w:r>
        <w:rPr>
          <w:b w:val="0"/>
        </w:rPr>
        <w:t xml:space="preserve">borrow-free </w:t>
      </w:r>
      <w:r>
        <w:rPr>
          <w:b/>
        </w:rPr>
        <w:t>long-SVXY</w:t>
      </w:r>
      <w:r>
        <w:rPr>
          <w:b w:val="0"/>
        </w:rPr>
        <w:t xml:space="preserve"> sleeve *appeared* to clear every gate (Case 49: combined 1.08, ρ=0.04, "6/6</w:t>
      </w:r>
    </w:p>
    <w:p>
      <w:r>
        <w:rPr>
          <w:b w:val="0"/>
        </w:rPr>
        <w:t>positive years") and survived a simulated-volmageddon tail-stress at an 8% cap (Case 50, still valid: a</w:t>
      </w:r>
    </w:p>
    <w:p>
      <w:r>
        <w:rPr>
          <w:b w:val="0"/>
        </w:rPr>
        <w:t>−50% SVXY day → only −7.9% combined drawdown — the sizing is genuine tail management). **But the</w:t>
      </w:r>
    </w:p>
    <w:p>
      <w:r>
        <w:rPr>
          <w:b w:val="0"/>
        </w:rPr>
        <w:t>adversarial audit (Case 52) refuted the *diversification*:</w:t>
      </w:r>
      <w:r>
        <w:rPr>
          <w:b/>
        </w:rPr>
        <w:t xml:space="preserve"> the entire lift is the </w:t>
      </w:r>
      <w:r>
        <w:rPr>
          <w:b w:val="0"/>
        </w:rPr>
        <w:t>2022–23 vol-crush**</w:t>
      </w:r>
    </w:p>
    <w:p>
      <w:r>
        <w:rPr>
          <w:b w:val="0"/>
        </w:rPr>
        <w:t xml:space="preserve">(pre-2024 book lift +0.92, short-vol standalone +2.17), and </w:t>
      </w:r>
      <w:r>
        <w:rPr>
          <w:b/>
        </w:rPr>
        <w:t>since 2024 the lift is −0.27</w:t>
      </w:r>
      <w:r>
        <w:rPr>
          <w:b w:val="0"/>
        </w:rPr>
        <w:t xml:space="preserve"> — the leg</w:t>
      </w:r>
    </w:p>
    <w:p>
      <w:r>
        <w:rPr>
          <w:b w:val="0"/>
        </w:rPr>
        <w:t>*drags* the book. The "6/6 years" was the *standalone* calendar Sharpe, masking the negative *book* lift;</w:t>
      </w:r>
    </w:p>
    <w:p>
      <w:r>
        <w:rPr>
          <w:b w:val="0"/>
        </w:rPr>
        <w:t>ρ≈0 is real and stress-stable but "uncorrelated ≠ hedged" (pairs is dead weight in a vol spike, so the</w:t>
      </w:r>
    </w:p>
    <w:p>
      <w:r>
        <w:rPr>
          <w:b w:val="0"/>
        </w:rPr>
        <w:t xml:space="preserve">combined tail is short-vol's). </w:t>
      </w:r>
      <w:r>
        <w:rPr>
          <w:b/>
        </w:rPr>
        <w:t>Net: NOT a current diversifier.</w:t>
      </w:r>
      <w:r>
        <w:rPr>
          <w:b w:val="0"/>
        </w:rPr>
        <w:t xml:space="preserve"> Kept on the forward track at the tiny</w:t>
      </w:r>
    </w:p>
    <w:p>
      <w:r>
        <w:rPr>
          <w:b w:val="0"/>
        </w:rPr>
        <w:t>8% tail-cap purely to observe whether the VRP regime returns — not counted as a validated leg.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appealing thesis, falsified (1):</w:t>
      </w:r>
    </w:p>
    <w:p>
      <w:pPr>
        <w:pStyle w:val="ListBullet"/>
      </w:pPr>
      <w:r>
        <w:rPr>
          <w:b/>
        </w:rPr>
        <w:t>Cross-asset trend / managed-futures (Case 51)</w:t>
      </w:r>
      <w:r>
        <w:rPr>
          <w:b w:val="0"/>
        </w:rPr>
        <w:t xml:space="preserve"> — the would-be short-vol crash-hedge: trend Sharpe 0.31 LOST to buy-and-hold (0.82) and long-only-no-timing (1.12) → timing is illusory; negative in 2022–2023 (crisis-alpha thesis failed); ρ=+0.17 with short-vol and loses on its worst days (no hedge); 3-leg combiner dilutes (0.93&lt;1.07).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