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40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>fundamental, run both by hand and by an AI research loop — **exactly one edge has cleared the honest</w:t>
      </w:r>
    </w:p>
    <w:p>
      <w:r>
        <w:rPr>
          <w:b w:val="0"/>
        </w:rPr>
        <w:t>out-of-sample bar**: a cointegrated-pairs market-neutral basket.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**No other candidate</w:t>
      </w:r>
    </w:p>
    <w:p>
      <w:r>
        <w:rPr>
          <w:b w:val="0"/>
        </w:rPr>
        <w:t>survived.**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legs.</w:t>
      </w:r>
    </w:p>
    <w:p/>
    <w:p>
      <w:pPr>
        <w:pStyle w:val="Heading2"/>
      </w:pPr>
      <w:r>
        <w:t>The scoreboard (35 experiments, by outcome)</w:t>
      </w:r>
    </w:p>
    <w:p>
      <w:r>
        <w:rPr>
          <w:b/>
        </w:rPr>
        <w:t>✅ Validated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**full 0.39 / holdout</w:t>
      </w:r>
    </w:p>
    <w:p>
      <w:r>
        <w:rPr>
          <w:b w:val="0"/>
        </w:rPr>
        <w:t xml:space="preserve">  +0.24** — and unlike large-caps, the light blend *improves* generalization instead of breaking it</w:t>
      </w:r>
    </w:p>
    <w:p>
      <w:r>
        <w:rPr>
          <w:b w:val="0"/>
        </w:rPr>
        <w:t xml:space="preserve">  (w≥0.5 breaks → a real sweet spot, not an overfit knob). Clears the two hardest tests (beats the</w:t>
      </w:r>
    </w:p>
    <w:p>
      <w:r>
        <w:rPr>
          <w:b w:val="0"/>
        </w:rPr>
        <w:t xml:space="preserve">  size-baseline AND generalizes) but </w:t>
      </w:r>
      <w:r>
        <w:rPr>
          <w:b/>
        </w:rPr>
        <w:t>fails the regime+DSR rail</w:t>
      </w:r>
      <w:r>
        <w:rPr>
          <w:b w:val="0"/>
        </w:rPr>
        <w:t xml:space="preserve"> (3/6 years, DSR 0.51). The best</w:t>
      </w:r>
    </w:p>
    <w:p>
      <w:r>
        <w:rPr>
          <w:b w:val="0"/>
        </w:rPr>
        <w:t xml:space="preserve">  second-leg *candidate* we've found — held at zero size until it clears the rail. The size-tilt is</w:t>
      </w:r>
    </w:p>
    <w:p>
      <w:r>
        <w:rPr>
          <w:b w:val="0"/>
        </w:rPr>
        <w:t xml:space="preserve">  </w:t>
      </w:r>
      <w:r>
        <w:rPr>
          <w:b/>
        </w:rPr>
        <w:t>non-monotonic</w:t>
      </w:r>
      <w:r>
        <w:rPr>
          <w:b w:val="0"/>
        </w:rPr>
        <w:t xml:space="preserve"> though: it </w:t>
      </w:r>
      <w:r>
        <w:rPr>
          <w:b/>
        </w:rPr>
        <w:t>inverts in small-caps (−0.26, Case 39)</w:t>
      </w:r>
      <w:r>
        <w:rPr>
          <w:b w:val="0"/>
        </w:rPr>
        <w:t xml:space="preserve"> — the value-trap + 2021–26</w:t>
      </w:r>
    </w:p>
    <w:p>
      <w:r>
        <w:rPr>
          <w:b w:val="0"/>
        </w:rPr>
        <w:t xml:space="preserve">  small-cap bear — so mid-cap is a genuine local sweet spot, not the first rung of a ladder.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