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every documented case study classified by the control that killed it,</w:t>
      </w:r>
    </w:p>
    <w:p>
      <w:r>
        <w:rPr>
          <w:b w:val="0"/>
        </w:rPr>
        <w:t>down to the 2 deployed sleeves.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62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