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</w:tbl>
    <w:p>
      <w:pPr>
        <w:pStyle w:val="Heading2"/>
      </w:pPr>
      <w:r>
        <w:t>Outcome</w:t>
      </w:r>
    </w:p>
    <w:p>
      <w:r>
        <w:rPr>
          <w:b/>
        </w:rPr>
        <w:t>Plan complete (11 tested, 1 deferred).</w:t>
      </w:r>
      <w:r>
        <w:rPr>
          <w:b w:val="0"/>
        </w:rPr>
        <w:t xml:space="preserve"> Of the whole untested-factor backlog, **zero new deployable</w:t>
      </w:r>
    </w:p>
    <w:p>
      <w:r>
        <w:rPr>
          <w:b w:val="0"/>
        </w:rPr>
        <w:t>edges** — the classic factor zoo (Cases 26–34) is absent on our large-caps, BAB needs leverage, and the</w:t>
      </w:r>
    </w:p>
    <w:p>
      <w:r>
        <w:rPr>
          <w:b w:val="0"/>
        </w:rPr>
        <w:t>sector-rescue for accruals was refuted (Case 35). The one validated edge remains the **cointegrated-pairs</w:t>
      </w:r>
    </w:p>
    <w:p>
      <w:r>
        <w:rPr>
          <w:b w:val="0"/>
        </w:rPr>
        <w:t>basket, corrected upward to WF ~0.83** (top-10 + 5% ADF), −4% DD. Value composite generalizes but is too</w:t>
      </w:r>
    </w:p>
    <w:p>
      <w:r>
        <w:rPr>
          <w:b w:val="0"/>
        </w:rPr>
        <w:t>thin to add. Net: the deployable portfolio is the pairs basket alone; the search continues for a *second*</w:t>
      </w:r>
    </w:p>
    <w:p>
      <w:r>
        <w:rPr>
          <w:b w:val="0"/>
        </w:rPr>
        <w:t>genuinely-good uncorrelated leg (the binding constraint). The reusable factor engine + AI loop make the</w:t>
      </w:r>
    </w:p>
    <w:p>
      <w:r>
        <w:rPr>
          <w:b w:val="0"/>
        </w:rPr>
        <w:t>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