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p>
      <w:pPr>
        <w:pStyle w:val="Heading2"/>
      </w:pPr>
      <w:r>
        <w:t>Case 59 — PEAD with REAL SUE (standardized unexpected earnings) ❌ (SUE *is* the better signal — and PEAD still fails the fresh-symbol holdout a 4th time)</w:t>
      </w:r>
    </w:p>
    <w:p>
      <w:pPr>
        <w:pStyle w:val="ListBullet"/>
      </w:pPr>
      <w:r>
        <w:rPr>
          <w:b/>
        </w:rPr>
        <w:t>The standing question (from Cases 14/18).</w:t>
      </w:r>
      <w:r>
        <w:rPr>
          <w:b w:val="0"/>
        </w:rPr>
        <w:t xml:space="preserve"> PEAD's long leg is beta and its single-name short</w:t>
      </w:r>
    </w:p>
    <w:p>
      <w:r>
        <w:rPr>
          <w:b w:val="0"/>
        </w:rPr>
        <w:t xml:space="preserve">  leg dies to adverse-selection borrow; it was held open on one explicit lever: *try </w:t>
      </w:r>
      <w:r>
        <w:rPr>
          <w:b/>
        </w:rPr>
        <w:t>real SUE</w:t>
      </w:r>
    </w:p>
    <w:p>
      <w:r>
        <w:rPr>
          <w:b w:val="0"/>
        </w:rPr>
        <w:t xml:space="preserve">  vs raw `surprise_pct` at full breadth.* Raw surprise_pct = (eps−consensus)/|consensus| is wildly</w:t>
      </w:r>
    </w:p>
    <w:p>
      <w:r>
        <w:rPr>
          <w:b w:val="0"/>
        </w:rPr>
        <w:t xml:space="preserve">  fat-tailed (a near-zero consensus explodes it); the academically-correct PEAD signal is</w:t>
      </w:r>
    </w:p>
    <w:p>
      <w:r>
        <w:rPr>
          <w:b w:val="0"/>
        </w:rPr>
        <w:t xml:space="preserve">  </w:t>
      </w:r>
      <w:r>
        <w:rPr>
          <w:b/>
        </w:rPr>
        <w:t>SUE = (eps − consensus) / std(the firm's own past unexpected earnings)</w:t>
      </w:r>
      <w:r>
        <w:rPr>
          <w:b w:val="0"/>
        </w:rPr>
        <w:t xml:space="preserve"> — a clean, comparable</w:t>
      </w:r>
    </w:p>
    <w:p>
      <w:r>
        <w:rPr>
          <w:b w:val="0"/>
        </w:rPr>
        <w:t xml:space="preserve">  z-score. The AlphaVantage earnings cache has since grown to **63 symbols × ~30 years (6,604 events</w:t>
      </w:r>
    </w:p>
    <w:p>
      <w:r>
        <w:rPr>
          <w:b w:val="0"/>
        </w:rPr>
        <w:t xml:space="preserve">  with computable SUE)**, broad enough to test it.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Added an additive `signal_field`/`borrow_field` switch to `backtest_pead` (default</w:t>
      </w:r>
    </w:p>
    <w:p>
      <w:r>
        <w:rPr>
          <w:b w:val="0"/>
        </w:rPr>
        <w:t xml:space="preserve">  behaviour bit-identical — verified the prior surprise_pct numbers reproduce exactly). Computed SUE</w:t>
      </w:r>
    </w:p>
    <w:p>
      <w:r>
        <w:rPr>
          <w:b w:val="0"/>
        </w:rPr>
        <w:t xml:space="preserve">  per event with a </w:t>
      </w:r>
      <w:r>
        <w:rPr>
          <w:b/>
        </w:rPr>
        <w:t>no-lookahead expanding std</w:t>
      </w:r>
      <w:r>
        <w:rPr>
          <w:b w:val="0"/>
        </w:rPr>
        <w:t xml:space="preserve"> (≥4 priors). Ran long/short/dollar-neutral under</w:t>
      </w:r>
    </w:p>
    <w:p>
      <w:r>
        <w:rPr>
          <w:b w:val="0"/>
        </w:rPr>
        <w:t xml:space="preserve">  </w:t>
      </w:r>
      <w:r>
        <w:rPr>
          <w:b/>
        </w:rPr>
        <w:t>flat and adverse-selection borrow</w:t>
      </w:r>
      <w:r>
        <w:rPr>
          <w:b w:val="0"/>
        </w:rPr>
        <w:t xml:space="preserve">, IS/OOS split, and — decisively — the </w:t>
      </w:r>
      <w:r>
        <w:rPr>
          <w:b/>
        </w:rPr>
        <w:t>fresh-symbol holdout</w:t>
      </w:r>
    </w:p>
    <w:p>
      <w:r>
        <w:rPr>
          <w:b w:val="0"/>
        </w:rPr>
        <w:t xml:space="preserve">  on the </w:t>
      </w:r>
      <w:r>
        <w:rPr>
          <w:b/>
        </w:rPr>
        <w:t>19 disjoint names</w:t>
      </w:r>
      <w:r>
        <w:rPr>
          <w:b w:val="0"/>
        </w:rPr>
        <w:t xml:space="preserve"> that killed EAR-PEAD in Case 18.</w:t>
      </w:r>
    </w:p>
    <w:p>
      <w:pPr>
        <w:pStyle w:val="ListBullet"/>
      </w:pPr>
      <w:r>
        <w:rPr>
          <w:b/>
        </w:rPr>
        <w:t>Result — SUE genuinely beats raw, but it isn't enough.</w:t>
      </w:r>
    </w:p>
    <w:p>
      <w:pPr>
        <w:pStyle w:val="ListBullet"/>
      </w:pPr>
      <w:r>
        <w:rPr>
          <w:b/>
        </w:rPr>
        <w:t>SUE is the better signal (question answered).</w:t>
      </w:r>
      <w:r>
        <w:rPr>
          <w:b w:val="0"/>
        </w:rPr>
        <w:t xml:space="preserve"> Dollar-neutral, flat-borrow: raw OOS </w:t>
      </w:r>
      <w:r>
        <w:rPr>
          <w:b/>
        </w:rPr>
        <w:t>−0.17</w:t>
      </w:r>
    </w:p>
    <w:p>
      <w:r>
        <w:rPr>
          <w:b w:val="0"/>
        </w:rPr>
        <w:t xml:space="preserve">    → </w:t>
      </w:r>
      <w:r>
        <w:rPr>
          <w:b/>
        </w:rPr>
        <w:t>SUE OOS +0.28</w:t>
      </w:r>
      <w:r>
        <w:rPr>
          <w:b w:val="0"/>
        </w:rPr>
        <w:t xml:space="preserve">. Under adverse borrow: raw both </w:t>
      </w:r>
      <w:r>
        <w:rPr>
          <w:b/>
        </w:rPr>
        <w:t>0.22 / OOS −0.59</w:t>
      </w:r>
      <w:r>
        <w:rPr>
          <w:b w:val="0"/>
        </w:rPr>
        <w:t xml:space="preserve"> → SUE both **0.28 /</w:t>
      </w:r>
    </w:p>
    <w:p>
      <w:r>
        <w:rPr>
          <w:b w:val="0"/>
        </w:rPr>
        <w:t xml:space="preserve">    OOS +0.03**. Standardizing the surprise cleans up the fat tails and modestly survives borrow</w:t>
      </w:r>
    </w:p>
    <w:p>
      <w:r>
        <w:rPr>
          <w:b w:val="0"/>
        </w:rPr>
        <w:t xml:space="preserve">    where raw collapses. This closes the open lever: </w:t>
      </w:r>
      <w:r>
        <w:rPr>
          <w:b/>
        </w:rPr>
        <w:t>use SUE, not raw surprise_pct.</w:t>
      </w:r>
    </w:p>
    <w:p>
      <w:pPr>
        <w:pStyle w:val="ListBullet"/>
      </w:pPr>
      <w:r>
        <w:rPr>
          <w:b/>
        </w:rPr>
        <w:t>But the short leg is still a standalone loser</w:t>
      </w:r>
      <w:r>
        <w:rPr>
          <w:b w:val="0"/>
        </w:rPr>
        <w:t xml:space="preserve"> (−0.24 under adverse borrow, 28 no-locate</w:t>
      </w:r>
    </w:p>
    <w:p>
      <w:r>
        <w:rPr>
          <w:b w:val="0"/>
        </w:rPr>
        <w:t xml:space="preserve">    drops) and the dollar-neutral "both" leg is carried by the </w:t>
      </w:r>
      <w:r>
        <w:rPr>
          <w:b/>
        </w:rPr>
        <w:t>long (beta)</w:t>
      </w:r>
      <w:r>
        <w:rPr>
          <w:b w:val="0"/>
        </w:rPr>
        <w:t xml:space="preserve"> leg (long 0.60–1.03).</w:t>
      </w:r>
    </w:p>
    <w:p>
      <w:r>
        <w:rPr>
          <w:b w:val="0"/>
        </w:rPr>
        <w:t xml:space="preserve">    The SUE-adverse headline </w:t>
      </w:r>
      <w:r>
        <w:rPr>
          <w:b/>
        </w:rPr>
        <w:t>DSR deflates to 0.0</w:t>
      </w:r>
      <w:r>
        <w:rPr>
          <w:b w:val="0"/>
        </w:rPr>
        <w:t xml:space="preserve"> once you account for the threshold search.</w:t>
      </w:r>
    </w:p>
    <w:p>
      <w:pPr>
        <w:pStyle w:val="ListBullet"/>
      </w:pPr>
      <w:r>
        <w:rPr>
          <w:b/>
        </w:rPr>
        <w:t>The fresh-symbol holdout kills it.</w:t>
      </w:r>
      <w:r>
        <w:rPr>
          <w:b w:val="0"/>
        </w:rPr>
        <w:t xml:space="preserve"> Same fixed SUE rule, adverse borrow: **TRAIN-63 both 0.28</w:t>
      </w:r>
    </w:p>
    <w:p>
      <w:r>
        <w:rPr>
          <w:b w:val="0"/>
        </w:rPr>
        <w:t xml:space="preserve">    / OOS +0.03 → HOLDOUT-19 both 0.19 / OOS −0.71</w:t>
      </w:r>
      <w:r>
        <w:rPr>
          <w:b/>
        </w:rPr>
        <w:t xml:space="preserve">, short −0.71. The edge </w:t>
      </w:r>
      <w:r>
        <w:rPr>
          <w:b w:val="0"/>
        </w:rPr>
        <w:t>does not generalize to</w:t>
      </w:r>
    </w:p>
    <w:p>
      <w:r>
        <w:rPr>
          <w:b w:val="0"/>
        </w:rPr>
        <w:t xml:space="preserve">    disjoint symbols** — the identical failure mode as EAR-PEAD (Case 18) and accruals (Case 23).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the SUE lever is now closed.</w:t>
      </w:r>
      <w:r>
        <w:rPr>
          <w:b w:val="0"/>
        </w:rPr>
        <w:t xml:space="preserve"> Real SUE is a real improvement over raw</w:t>
      </w:r>
    </w:p>
    <w:p>
      <w:r>
        <w:rPr>
          <w:b w:val="0"/>
        </w:rPr>
        <w:t xml:space="preserve">  surprise_pct (worth keeping in the code), but PEAD's dollar-neutral edge remains **thin,</w:t>
      </w:r>
    </w:p>
    <w:p>
      <w:r>
        <w:rPr>
          <w:b w:val="0"/>
        </w:rPr>
        <w:t xml:space="preserve">  long-beta-carried, short-leg-fragile under adverse borrow, and non-generalizing across symbols.**</w:t>
      </w:r>
    </w:p>
    <w:p>
      <w:r>
        <w:rPr>
          <w:b w:val="0"/>
        </w:rPr>
        <w:t xml:space="preserve">  This is the </w:t>
      </w:r>
      <w:r>
        <w:rPr>
          <w:b/>
        </w:rPr>
        <w:t>4th independent rejection</w:t>
      </w:r>
      <w:r>
        <w:rPr>
          <w:b w:val="0"/>
        </w:rPr>
        <w:t xml:space="preserve"> of the PEAD family (raw Case 14, EAR-hedged Case 18,</w:t>
      </w:r>
    </w:p>
    <w:p>
      <w:r>
        <w:rPr>
          <w:b w:val="0"/>
        </w:rPr>
        <w:t xml:space="preserve">  3rd-leg re-test Case 55, SUE Case 59). PEAD is not the uncorrelated third leg; the deployed book</w:t>
      </w:r>
    </w:p>
    <w:p>
      <w:r>
        <w:rPr>
          <w:b w:val="0"/>
        </w:rPr>
        <w:t xml:space="preserve">  (pairs + short-vol) stands. (`scripts/test_pead_sue.py` → `data/pead_sue_results.json`; additive</w:t>
      </w:r>
    </w:p>
    <w:p>
      <w:r>
        <w:rPr>
          <w:b w:val="0"/>
        </w:rPr>
        <w:t xml:space="preserve">  `signal_field`/`borrow_field` in `alpca/backtest/pead.py`.)</w:t>
      </w:r>
    </w:p>
    <w:p>
      <w:pPr>
        <w:pStyle w:val="Heading2"/>
      </w:pPr>
      <w:r>
        <w:t>Case 60 — Out-of-regime test of the deployed pairs basket on 10.5 years ✅ (the edge HOLDS on never-seen 2016-2020 — the session's strongest validation)</w:t>
      </w:r>
    </w:p>
    <w:p>
      <w:pPr>
        <w:pStyle w:val="ListBullet"/>
      </w:pPr>
      <w:r>
        <w:rPr>
          <w:b/>
        </w:rPr>
        <w:t>The unlock (a data source we already had).</w:t>
      </w:r>
      <w:r>
        <w:rPr>
          <w:b w:val="0"/>
        </w:rPr>
        <w:t xml:space="preserve"> Everything in the program had been tuned and</w:t>
      </w:r>
    </w:p>
    <w:p>
      <w:r>
        <w:rPr>
          <w:b w:val="0"/>
        </w:rPr>
        <w:t xml:space="preserve">  measured on a single 5-year window (2021-06 → 2026-06) — the standing weakness was that we'd never</w:t>
      </w:r>
    </w:p>
    <w:p>
      <w:r>
        <w:rPr>
          <w:b w:val="0"/>
        </w:rPr>
        <w:t xml:space="preserve">  seen the deployed edge *out of regime*. The fix wasn't a new provider: the Alpaca account **already</w:t>
      </w:r>
    </w:p>
    <w:p>
      <w:r>
        <w:rPr>
          <w:b w:val="0"/>
        </w:rPr>
        <w:t xml:space="preserve">  has SIP historical access** (the config merely defaulted to the conservative `iex` feed, which has</w:t>
      </w:r>
    </w:p>
    <w:p>
      <w:r>
        <w:rPr>
          <w:b w:val="0"/>
        </w:rPr>
        <w:t xml:space="preserve">  no deep daily history). The SIP feed serves </w:t>
      </w:r>
      <w:r>
        <w:rPr>
          <w:b/>
        </w:rPr>
        <w:t>full daily history back to 2016</w:t>
      </w:r>
      <w:r>
        <w:rPr>
          <w:b w:val="0"/>
        </w:rPr>
        <w:t xml:space="preserve"> (the free tier only</w:t>
      </w:r>
    </w:p>
    <w:p>
      <w:r>
        <w:rPr>
          <w:b w:val="0"/>
        </w:rPr>
        <w:t xml:space="preserve">  blocks the most recent ~15 minutes). Re-pulling the 195-symbol large-cap universe at SIP depth gave</w:t>
      </w:r>
    </w:p>
    <w:p>
      <w:r>
        <w:rPr>
          <w:b w:val="0"/>
        </w:rPr>
        <w:t xml:space="preserve">  </w:t>
      </w:r>
      <w:r>
        <w:rPr>
          <w:b/>
        </w:rPr>
        <w:t>10.5 years</w:t>
      </w:r>
      <w:r>
        <w:rPr>
          <w:b w:val="0"/>
        </w:rPr>
        <w:t xml:space="preserve"> (≈2,630 daily bars/name) — doubling the history and exposing the </w:t>
      </w:r>
      <w:r>
        <w:rPr>
          <w:b/>
        </w:rPr>
        <w:t>2018 vol-spike</w:t>
      </w:r>
    </w:p>
    <w:p>
      <w:r>
        <w:rPr>
          <w:b w:val="0"/>
        </w:rPr>
        <w:t xml:space="preserve">  and </w:t>
      </w:r>
      <w:r>
        <w:rPr>
          <w:b/>
        </w:rPr>
        <w:t>2020 COVID crash</w:t>
      </w:r>
      <w:r>
        <w:rPr>
          <w:b w:val="0"/>
        </w:rPr>
        <w:t>, neither of which was in any prior window.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Ran the </w:t>
      </w:r>
      <w:r>
        <w:rPr>
          <w:b/>
        </w:rPr>
        <w:t>exact deployed config</w:t>
      </w:r>
      <w:r>
        <w:rPr>
          <w:b w:val="0"/>
        </w:rPr>
        <w:t xml:space="preserve"> (`delisting_aware_walkforward`, train 252 / test 63 /</w:t>
      </w:r>
    </w:p>
    <w:p>
      <w:r>
        <w:rPr>
          <w:b w:val="0"/>
        </w:rPr>
        <w:t xml:space="preserve">  top-10 / ADF ≤ −2.86 / 2 bps) on the 10.5yr panel and split the OOS daily returns into</w:t>
      </w:r>
    </w:p>
    <w:p>
      <w:r>
        <w:rPr>
          <w:b w:val="0"/>
        </w:rPr>
        <w:t xml:space="preserve">  </w:t>
      </w:r>
      <w:r>
        <w:rPr>
          <w:b/>
        </w:rPr>
        <w:t>OUT-OF-REGIME 2016-2020</w:t>
      </w:r>
      <w:r>
        <w:rPr>
          <w:b w:val="0"/>
        </w:rPr>
        <w:t xml:space="preserve"> (never in any tuning window) vs </w:t>
      </w:r>
      <w:r>
        <w:rPr>
          <w:b/>
        </w:rPr>
        <w:t>IN-REGIME 2021-2026</w:t>
      </w:r>
      <w:r>
        <w:rPr>
          <w:b w:val="0"/>
        </w:rPr>
        <w:t>. (Note: the</w:t>
      </w:r>
    </w:p>
    <w:p>
      <w:r>
        <w:rPr>
          <w:b w:val="0"/>
        </w:rPr>
        <w:t xml:space="preserve">  ragged 10yr panel — recent IPOs have no 2016 bars — breaks `walkforward_pairs`' strict timestamp</w:t>
      </w:r>
    </w:p>
    <w:p>
      <w:r>
        <w:rPr>
          <w:b w:val="0"/>
        </w:rPr>
        <w:t xml:space="preserve">  intersection; `delisting_aware_walkforward` uses the union calendar + per-window 80%-availability</w:t>
      </w:r>
    </w:p>
    <w:p>
      <w:r>
        <w:rPr>
          <w:b w:val="0"/>
        </w:rPr>
        <w:t xml:space="preserve">  screening and is the correct, validated tool.)</w:t>
      </w:r>
    </w:p>
    <w:p>
      <w:pPr>
        <w:pStyle w:val="ListBullet"/>
      </w:pPr>
      <w:r>
        <w:rPr>
          <w:b/>
        </w:rPr>
        <w:t>Result — the edge holds out-of-regime.</w:t>
      </w:r>
    </w:p>
    <w:p>
      <w:pPr>
        <w:pStyle w:val="ListBullet"/>
      </w:pPr>
      <w:r>
        <w:rPr>
          <w:b/>
        </w:rPr>
        <w:t>OUT-OF-REGIME 2016-2020: Sharpe 0.554</w:t>
      </w:r>
      <w:r>
        <w:rPr>
          <w:b w:val="0"/>
        </w:rPr>
        <w:t xml:space="preserve"> (1,007 OOS days), </w:t>
      </w:r>
      <w:r>
        <w:rPr>
          <w:b/>
        </w:rPr>
        <w:t>positive in all four years</w:t>
      </w:r>
    </w:p>
    <w:p>
      <w:r>
        <w:rPr>
          <w:b w:val="0"/>
        </w:rPr>
        <w:t xml:space="preserve">    (2017 +0.08, 2018 +0.02, 2019 +0.98, 2020 +0.87) — it survives both the 2018 vol-spike and the</w:t>
      </w:r>
    </w:p>
    <w:p>
      <w:r>
        <w:rPr>
          <w:b w:val="0"/>
        </w:rPr>
        <w:t xml:space="preserve">    2020 COVID crash.</w:t>
      </w:r>
    </w:p>
    <w:p>
      <w:pPr>
        <w:pStyle w:val="ListBullet"/>
      </w:pPr>
      <w:r>
        <w:rPr>
          <w:b w:val="0"/>
        </w:rPr>
        <w:t xml:space="preserve">IN-REGIME 2021-2026: Sharpe </w:t>
      </w:r>
      <w:r>
        <w:rPr>
          <w:b/>
        </w:rPr>
        <w:t>0.505</w:t>
      </w:r>
      <w:r>
        <w:rPr>
          <w:b w:val="0"/>
        </w:rPr>
        <w:t xml:space="preserve">. The out-of-regime number is </w:t>
      </w:r>
      <w:r>
        <w:rPr>
          <w:b/>
        </w:rPr>
        <w:t>slightly higher</w:t>
      </w:r>
      <w:r>
        <w:rPr>
          <w:b w:val="0"/>
        </w:rPr>
        <w:t xml:space="preserve"> than the</w:t>
      </w:r>
    </w:p>
    <w:p>
      <w:r>
        <w:rPr>
          <w:b w:val="0"/>
        </w:rPr>
        <w:t xml:space="preserve">    in-regime one — the clearest possible evidence that the pairs edge is </w:t>
      </w:r>
      <w:r>
        <w:rPr>
          <w:b/>
        </w:rPr>
        <w:t>not a 2021-2026 artifact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Full 10.5yr: Sharpe </w:t>
      </w:r>
      <w:r>
        <w:rPr>
          <w:b/>
        </w:rPr>
        <w:t>0.514</w:t>
      </w:r>
      <w:r>
        <w:rPr>
          <w:b w:val="0"/>
        </w:rPr>
        <w:t>, 37 windows, 2,331 OOS days.</w:t>
      </w:r>
    </w:p>
    <w:p>
      <w:pPr>
        <w:pStyle w:val="ListBullet"/>
      </w:pPr>
      <w:r>
        <w:rPr>
          <w:b/>
        </w:rPr>
        <w:t>Honest caveats (recorded, not buried).</w:t>
      </w:r>
      <w:r>
        <w:rPr>
          <w:b w:val="0"/>
        </w:rPr>
        <w:t xml:space="preserve"> (1) The full-period **0.51 sits below the 0.83</w:t>
      </w:r>
    </w:p>
    <w:p>
      <w:r>
        <w:rPr>
          <w:b w:val="0"/>
        </w:rPr>
        <w:t xml:space="preserve">  concentrated-5yr headline</w:t>
      </w:r>
      <w:r>
        <w:rPr>
          <w:b/>
        </w:rPr>
        <w:t xml:space="preserve"> — the true Sharpe looks like a </w:t>
      </w:r>
      <w:r>
        <w:rPr>
          <w:b w:val="0"/>
        </w:rPr>
        <w:t>modest ~0.5**, regime-robust but</w:t>
      </w:r>
    </w:p>
    <w:p>
      <w:r>
        <w:rPr>
          <w:b w:val="0"/>
        </w:rPr>
        <w:t xml:space="preserve">  smaller than the favourable window suggested; we revise the honest expectation *down on magnitude,</w:t>
      </w:r>
    </w:p>
    <w:p>
      <w:r>
        <w:rPr>
          <w:b w:val="0"/>
        </w:rPr>
        <w:t xml:space="preserve">  up on confidence*. (2) </w:t>
      </w:r>
      <w:r>
        <w:rPr>
          <w:b/>
        </w:rPr>
        <w:t>2026 reads −2.00</w:t>
      </w:r>
      <w:r>
        <w:rPr>
          <w:b w:val="0"/>
        </w:rPr>
        <w:t>, but it is a ~half-year small sample (and this fresh</w:t>
      </w:r>
    </w:p>
    <w:p>
      <w:r>
        <w:rPr>
          <w:b w:val="0"/>
        </w:rPr>
        <w:t xml:space="preserve">  SIP pull runs through 2026-06-18, later than the deployed June-16 snapshot's +1.06) — a noisy</w:t>
      </w:r>
    </w:p>
    <w:p>
      <w:r>
        <w:rPr>
          <w:b w:val="0"/>
        </w:rPr>
        <w:t xml:space="preserve">  partial year, not a regime verdict.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HOLDS OUT-OF-REGIME — the deployed pairs edge is real and regime-robust.</w:t>
      </w:r>
      <w:r>
        <w:rPr>
          <w:b w:val="0"/>
        </w:rPr>
        <w:t xml:space="preserve"> This</w:t>
      </w:r>
    </w:p>
    <w:p>
      <w:r>
        <w:rPr>
          <w:b w:val="0"/>
        </w:rPr>
        <w:t xml:space="preserve">  is the session's first *confirmation* rather than rejection: the one deployed equity edge clears a</w:t>
      </w:r>
    </w:p>
    <w:p>
      <w:r>
        <w:rPr>
          <w:b w:val="0"/>
        </w:rPr>
        <w:t xml:space="preserve">  genuine out-of-regime holdout (2016-2020, including two stress regimes) at a Sharpe (~0.55) on par</w:t>
      </w:r>
    </w:p>
    <w:p>
      <w:r>
        <w:rPr>
          <w:b w:val="0"/>
        </w:rPr>
        <w:t xml:space="preserve">  with its in-regime number. The magnitude is modest (~0.5, below the 0.83 headline), which is the</w:t>
      </w:r>
    </w:p>
    <w:p>
      <w:r>
        <w:rPr>
          <w:b w:val="0"/>
        </w:rPr>
        <w:t xml:space="preserve">  honest read. </w:t>
      </w:r>
      <w:r>
        <w:rPr>
          <w:b/>
        </w:rPr>
        <w:t>Going forward, research downloads should use `--feed sip` for the full 10.5yr depth</w:t>
      </w:r>
    </w:p>
    <w:p>
      <w:r>
        <w:rPr>
          <w:b w:val="0"/>
        </w:rPr>
        <w:t xml:space="preserve">  so every prior 5yr-window result can be re-tested out-of-regime. (`scripts/test_pairs_out_of_regime.py`</w:t>
      </w:r>
    </w:p>
    <w:p>
      <w:r>
        <w:rPr>
          <w:b w:val="0"/>
        </w:rPr>
        <w:t xml:space="preserve">  → `data/pairs_out_of_regime.json`; `scripts/download_data.py --feed sip`.)</w:t>
      </w:r>
    </w:p>
    <w:p>
      <w:pPr>
        <w:pStyle w:val="Heading2"/>
      </w:pPr>
      <w:r>
        <w:t>Case 61 — Conference-driven return drift, MINED by the research pipeline ❌ (beta dressed as alpha; the harness caught what the source headline hid)</w:t>
      </w:r>
    </w:p>
    <w:p>
      <w:pPr>
        <w:pStyle w:val="ListBullet"/>
      </w:pPr>
      <w:r>
        <w:rPr>
          <w:b/>
        </w:rPr>
        <w:t>First edge from the new research pipeline.</w:t>
      </w:r>
      <w:r>
        <w:rPr>
          <w:b w:val="0"/>
        </w:rPr>
        <w:t xml:space="preserve"> Built `alpca/research/` — a harvester + LLM</w:t>
      </w:r>
    </w:p>
    <w:p>
      <w:r>
        <w:rPr>
          <w:b w:val="0"/>
        </w:rPr>
        <w:t xml:space="preserve">  strategy-extractor that pulls articles from every provider we have (AlphaVantage NEWS_SENTIMENT,</w:t>
      </w:r>
    </w:p>
    <w:p>
      <w:r>
        <w:rPr>
          <w:b w:val="0"/>
        </w:rPr>
        <w:t xml:space="preserve">  Alpaca/Benzinga news, and quant-research publishers via web/Reddit/Perplexity), normalizes them</w:t>
      </w:r>
    </w:p>
    <w:p>
      <w:r>
        <w:rPr>
          <w:b w:val="0"/>
        </w:rPr>
        <w:t xml:space="preserve">  into one corpus, extracts </w:t>
      </w:r>
      <w:r>
        <w:rPr>
          <w:b/>
        </w:rPr>
        <w:t>structured testable specs</w:t>
      </w:r>
      <w:r>
        <w:rPr>
          <w:b w:val="0"/>
        </w:rPr>
        <w:t>, dedups against our 60 prior cases, and</w:t>
      </w:r>
    </w:p>
    <w:p>
      <w:r>
        <w:rPr>
          <w:b w:val="0"/>
        </w:rPr>
        <w:t xml:space="preserve">  queues the </w:t>
      </w:r>
      <w:r>
        <w:rPr>
          <w:b/>
        </w:rPr>
        <w:t>novel + venue-feasible</w:t>
      </w:r>
      <w:r>
        <w:rPr>
          <w:b w:val="0"/>
        </w:rPr>
        <w:t xml:space="preserve"> ones for validation. The first surfaced candidate:</w:t>
      </w:r>
    </w:p>
    <w:p>
      <w:r>
        <w:rPr>
          <w:b w:val="0"/>
        </w:rPr>
        <w:t xml:space="preserve">  </w:t>
      </w:r>
      <w:r>
        <w:rPr>
          <w:b/>
        </w:rPr>
        <w:t>conference-driven return drift</w:t>
      </w:r>
      <w:r>
        <w:rPr>
          <w:b w:val="0"/>
        </w:rPr>
        <w:t xml:space="preserve"> (Quantpedia) — *long AAPL/GOOGL/MSFT from D-2 before to D+2</w:t>
      </w:r>
    </w:p>
    <w:p>
      <w:r>
        <w:rPr>
          <w:b w:val="0"/>
        </w:rPr>
        <w:t xml:space="preserve">  after their flagship conferences (WWDC / Google I/O / MS Build); claimed Sharpe 0.97, 2011-2025.*</w:t>
      </w:r>
    </w:p>
    <w:p>
      <w:pPr>
        <w:pStyle w:val="ListBullet"/>
      </w:pPr>
      <w:r>
        <w:rPr>
          <w:b/>
        </w:rPr>
        <w:t>Validated on 2016-2026 SIP data</w:t>
      </w:r>
      <w:r>
        <w:rPr>
          <w:b w:val="0"/>
        </w:rPr>
        <w:t xml:space="preserve"> (4 tickers pulled fresh from Alpaca SIP — no external drive</w:t>
      </w:r>
    </w:p>
    <w:p>
      <w:r>
        <w:rPr>
          <w:b w:val="0"/>
        </w:rPr>
        <w:t xml:space="preserve">  needed; conference dates are publicly scheduled → no lookahead), long-only and beta-hedged, with</w:t>
      </w:r>
    </w:p>
    <w:p>
      <w:r>
        <w:rPr>
          <w:b w:val="0"/>
        </w:rPr>
        <w:t xml:space="preserve">  the decisive </w:t>
      </w:r>
      <w:r>
        <w:rPr>
          <w:b/>
        </w:rPr>
        <w:t>is-it-beta?</w:t>
      </w:r>
      <w:r>
        <w:rPr>
          <w:b w:val="0"/>
        </w:rPr>
        <w:t xml:space="preserve"> control.</w:t>
      </w:r>
    </w:p>
    <w:p>
      <w:pPr>
        <w:pStyle w:val="ListBullet"/>
      </w:pPr>
      <w:r>
        <w:rPr>
          <w:b/>
        </w:rPr>
        <w:t>Result — beta, not alpha.</w:t>
      </w:r>
    </w:p>
    <w:p>
      <w:pPr>
        <w:pStyle w:val="ListBullet"/>
      </w:pPr>
      <w:r>
        <w:rPr>
          <w:b/>
        </w:rPr>
        <w:t>Long-only: Sharpe 0.63</w:t>
      </w:r>
      <w:r>
        <w:rPr>
          <w:b w:val="0"/>
        </w:rPr>
        <w:t xml:space="preserve"> (below the claimed 0.97 on our window) — but **buy-and-hold the 3</w:t>
      </w:r>
    </w:p>
    <w:p>
      <w:r>
        <w:rPr>
          <w:b w:val="0"/>
        </w:rPr>
        <w:t xml:space="preserve">    names *always* = Sharpe 1.06.** The conference timing is *worse than just owning the stocks*:</w:t>
      </w:r>
    </w:p>
    <w:p>
      <w:r>
        <w:rPr>
          <w:b w:val="0"/>
        </w:rPr>
        <w:t xml:space="preserve">    it's compressed mega-cap tech beta, parked in cash 93% of the time (7% exposure).</w:t>
      </w:r>
    </w:p>
    <w:p>
      <w:pPr>
        <w:pStyle w:val="ListBullet"/>
      </w:pPr>
      <w:r>
        <w:rPr>
          <w:b w:val="0"/>
        </w:rPr>
        <w:t>**Beta-hedged (long stock − short SPY) = the alpha test: 0.54 full-period — but</w:t>
      </w:r>
    </w:p>
    <w:p>
      <w:r>
        <w:rPr>
          <w:b w:val="0"/>
        </w:rPr>
        <w:t xml:space="preserve">    recency-concentrated**: negative in 2016/2017/2018/2020, positive only 2019 + 2021-2024. Not</w:t>
      </w:r>
    </w:p>
    <w:p>
      <w:r>
        <w:rPr>
          <w:b w:val="0"/>
        </w:rPr>
        <w:t xml:space="preserve">    regime-stable, and the whole thing rests on </w:t>
      </w:r>
      <w:r>
        <w:rPr>
          <w:b/>
        </w:rPr>
        <w:t>29 events</w:t>
      </w:r>
      <w:r>
        <w:rPr>
          <w:b w:val="0"/>
        </w:rPr>
        <w:t xml:space="preserve"> (≈3/yr × 3 names) — far too few</w:t>
      </w:r>
    </w:p>
    <w:p>
      <w:r>
        <w:rPr>
          <w:b w:val="0"/>
        </w:rPr>
        <w:t xml:space="preserve">    independent bets to 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beta dressed as alpha.</w:t>
      </w:r>
      <w:r>
        <w:rPr>
          <w:b w:val="0"/>
        </w:rPr>
        <w:t xml:space="preserve"> The long-only "edge" underperforms simply</w:t>
      </w:r>
    </w:p>
    <w:p>
      <w:r>
        <w:rPr>
          <w:b w:val="0"/>
        </w:rPr>
        <w:t xml:space="preserve">  holding the three stocks; the hedged alpha is a small-sample recency artifact (the mega-cap</w:t>
      </w:r>
    </w:p>
    <w:p>
      <w:r>
        <w:rPr>
          <w:b w:val="0"/>
        </w:rPr>
        <w:t xml:space="preserve">  dominance window), exactly what the source's headline Sharpe (0.97, long-only, 2011-2025) obscured.</w:t>
      </w:r>
    </w:p>
    <w:p>
      <w:r>
        <w:rPr>
          <w:b w:val="0"/>
        </w:rPr>
        <w:t xml:space="preserve">  *The value here is the pipeline:* it took a published strategy from harvest → spec → venue-feasible</w:t>
      </w:r>
    </w:p>
    <w:p>
      <w:r>
        <w:rPr>
          <w:b w:val="0"/>
        </w:rPr>
        <w:t xml:space="preserve">  triage → honest battery → beta/regime decomposition automatically. (`alpca/research/`,</w:t>
      </w:r>
    </w:p>
    <w:p>
      <w:r>
        <w:rPr>
          <w:b w:val="0"/>
        </w:rPr>
        <w:t xml:space="preserve">  `scripts/harvest_news.py`, `scripts/mine_strategies.py`, `scripts/validate_conference_drift.py`</w:t>
      </w:r>
    </w:p>
    <w:p>
      <w:r>
        <w:rPr>
          <w:b w:val="0"/>
        </w:rPr>
        <w:t xml:space="preserve">  → `data/conference_drift_results.json`. Pipeline doc: `docs/RESEARCH_PIPELINE.md`.)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