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Dollar-neutral Sh 0.60–0.78, IS &amp; OOS both +, DSR 0.92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new candidate</w:t>
            </w:r>
            <w:r>
              <w:rPr>
                <w:b w:val="0"/>
              </w:rPr>
              <w:t xml:space="preserve"> (5yr, near-significant)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 (now modeled).</w:t>
      </w:r>
      <w:r>
        <w:rPr>
          <w:b w:val="0"/>
        </w:rPr>
        <w:t xml:space="preserve"> `backtest_pead` charges a daily stock-borrow fee on the</w:t>
      </w:r>
    </w:p>
    <w:p>
      <w:r>
        <w:rPr>
          <w:b w:val="0"/>
        </w:rPr>
        <w:t xml:space="preserve">  short notional (`borrow_apr`, flat or per-symbol) and drops names with no locate (`no_borrow`).</w:t>
      </w:r>
    </w:p>
    <w:p>
      <w:r>
        <w:rPr>
          <w:b w:val="0"/>
        </w:rPr>
        <w:t xml:space="preserve">  Stress on the dollar-neutral leg: Sharpe </w:t>
      </w:r>
      <w:r>
        <w:rPr>
          <w:b/>
        </w:rPr>
        <w:t>0.61 → 0.58</w:t>
      </w:r>
      <w:r>
        <w:rPr>
          <w:b w:val="0"/>
        </w:rPr>
        <w:t xml:space="preserve"> at a realistic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only under a 10% hard-to-borrow stress.</w:t>
      </w:r>
    </w:p>
    <w:p>
      <w:r>
        <w:rPr>
          <w:b w:val="0"/>
        </w:rPr>
        <w:t xml:space="preserve">  Our universe is liquid S&amp;P large-caps (GC, ~0.3–1%), so **the edge is robust to realistic</w:t>
      </w:r>
    </w:p>
    <w:p>
      <w:r>
        <w:rPr>
          <w:b w:val="0"/>
        </w:rPr>
        <w:t xml:space="preserve">  borrow** — the drag is ~apr/2 per year on a dollar-neutral book. Shorting realism is *not* the</w:t>
      </w:r>
    </w:p>
    <w:p>
      <w:r>
        <w:rPr>
          <w:b w:val="0"/>
        </w:rPr>
        <w:t xml:space="preserve">  binding constraint.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strongest new candidate — the first thing besides the pairs basket that</w:t>
      </w:r>
    </w:p>
    <w:p>
      <w:r>
        <w:rPr>
          <w:b w:val="0"/>
        </w:rPr>
        <w:t xml:space="preserve">  looks like a genuine, diversifying, market-neutral edge,** and it survives realistic borrow</w:t>
      </w:r>
    </w:p>
    <w:p>
      <w:r>
        <w:rPr>
          <w:b w:val="0"/>
        </w:rPr>
        <w:t xml:space="preserve">  costs. *Near* significant after deflation (DSR 0.92, just under 0.95). The one binding</w:t>
      </w:r>
    </w:p>
    <w:p>
      <w:r>
        <w:rPr>
          <w:b w:val="0"/>
        </w:rPr>
        <w:t xml:space="preserve">  limitation is </w:t>
      </w:r>
      <w:r>
        <w:rPr>
          <w:b/>
        </w:rPr>
        <w:t>breadth</w:t>
      </w:r>
      <w:r>
        <w:rPr>
          <w:b w:val="0"/>
        </w:rPr>
        <w:t xml:space="preserve"> — only 23 symbols (free-tier 25 req/day), 5-year window.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is filling the full 195-symbol universe (~8 days),</w:t>
      </w:r>
    </w:p>
    <w:p>
      <w:r>
        <w:rPr>
          <w:b w:val="0"/>
        </w:rPr>
        <w:t xml:space="preserve">  which tightens the cross-sectional deciles and shrinks the Sharpe standard error — the direct</w:t>
      </w:r>
    </w:p>
    <w:p>
      <w:r>
        <w:rPr>
          <w:b w:val="0"/>
        </w:rPr>
        <w:t xml:space="preserve">  route to DSR &gt; 0.95. Then PEAD becomes the combiner's second leg (uncorrelated to the pairs</w:t>
      </w:r>
    </w:p>
    <w:p>
      <w:r>
        <w:rPr>
          <w:b w:val="0"/>
        </w:rPr>
        <w:t xml:space="preserve">  basket by construction).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>and a portfolio combiner — the **84-symbol cointegrated-pairs market-neutral basket (OOS</w:t>
      </w:r>
    </w:p>
    <w:p>
      <w:r>
        <w:rPr>
          <w:b w:val="0"/>
        </w:rPr>
        <w:t>Sharpe ~0.5)</w:t>
      </w:r>
      <w:r>
        <w:rPr>
          <w:b/>
        </w:rPr>
        <w:t xml:space="preserve"> remains the fully-validated edge, now joined by </w:t>
      </w:r>
      <w:r>
        <w:rPr>
          <w:b w:val="0"/>
        </w:rPr>
        <w:t>PEAD as a strong second</w:t>
      </w:r>
    </w:p>
    <w:p>
      <w:r>
        <w:rPr>
          <w:b w:val="0"/>
        </w:rPr>
        <w:t>candidate** (dollar-neutral Sharpe 0.6–0.8, IS &amp; OOS both positive over a real 5-year walk-</w:t>
      </w:r>
    </w:p>
    <w:p>
      <w:r>
        <w:rPr>
          <w:b w:val="0"/>
        </w:rPr>
        <w:t>forward, DSR 0.92 — just shy of significance, held back mainly by the 23-symbol breadth the</w:t>
      </w:r>
    </w:p>
    <w:p>
      <w:r>
        <w:rPr>
          <w:b w:val="0"/>
        </w:rPr>
        <w:t>free API quota allowed). If broader data pushes PEAD's DSR over 0.95, it becomes the combiner's</w:t>
      </w:r>
    </w:p>
    <w:p>
      <w:r>
        <w:rPr>
          <w:b w:val="0"/>
        </w:rPr>
        <w:t>second leg — and being event-clock cross-sectional, it's uncorrelated to the pairs basket by</w:t>
      </w:r>
    </w:p>
    <w:p>
      <w:r>
        <w:rPr>
          <w:b w:val="0"/>
        </w:rPr>
        <w:t>construction, exactly the kind of leg that lifts a combined Sharpe.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