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two-sleeve combiner</w:t>
            </w:r>
            <w:r>
              <w:rPr>
                <w:b w:val="0"/>
              </w:rPr>
              <w:t xml:space="preserve"> (WF pairs + momentum, dated)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SIP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DILUTES</w:t>
            </w:r>
            <w:r>
              <w:rPr>
                <w:b w:val="0"/>
              </w:rPr>
              <w:t>: momentum −0.15 over the OOS overlap (carried by 2021); inverse-vol combined 0.47 &lt; pairs-alone 0.83 → deploy pairs alone (Case 47)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Cross-sectional calendar seasonality</w:t>
            </w:r>
            <w:r>
              <w:rPr>
                <w:b w:val="0"/>
              </w:rPr>
              <w:t xml:space="preserve"> (2nd-leg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(zero new data)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uncorrelated (ρ=0.06) + looked +0.35 OOS, but per-year unstable (−2025/−2026); 0.83→0.88 lift was a partial-2026 artifact, dilutes without it (Case 48)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Short-volatility / VRP</w:t>
            </w:r>
            <w:r>
              <w:rPr>
                <w:b w:val="0"/>
              </w:rPr>
              <w:t xml:space="preserve"> (2nd-leg hunt, new risk axis)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VXX/SVXY ETPs (SIP)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FIRST leg that LIFTS</w:t>
            </w:r>
            <w:r>
              <w:rPr>
                <w:b w:val="0"/>
              </w:rPr>
              <w:t>: combined 0.83→1.08, DSR 0.90, ρ=0.04, 6/6 yrs, combined DD unchanged −5.5% at 12% size; asterisk = un-sampled −46% tail (Case 49)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Short-vol TAIL STRESS</w:t>
            </w:r>
            <w:r>
              <w:rPr>
                <w:b w:val="0"/>
              </w:rPr>
              <w:t xml:space="preserve"> (simulate the volmageddon)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injected shock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8% cap VALIDATED: −50% SVXY spike → −7.9% combined DD (−9.4% at −70%); sizing is the tail mgmt (Case 50)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Cross-asset trend / managed-futures</w:t>
            </w:r>
            <w:r>
              <w:rPr>
                <w:b w:val="0"/>
              </w:rPr>
              <w:t xml:space="preserve"> (leg #3, short-vol hedge)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15-ETF basket (SIP)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timing illusory (0.31 &lt; B&amp;H 0.82 &lt; long-only 1.12); −2022/−2023; no short-vol hedge (ρ+0.17); 3-leg dilutes 0.93&lt;1.07 (Case 51)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