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Representative point-in-time universe</w:t>
            </w:r>
            <w:r>
              <w:rPr>
                <w:b w:val="0"/>
              </w:rPr>
              <w:t xml:space="preserve"> (all 1707 delistings, 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inactive-assets API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1.35 was a cherry-pick artifact</w:t>
            </w:r>
            <w:r>
              <w:rPr>
                <w:b w:val="0"/>
              </w:rPr>
              <w:t xml:space="preserve"> — representative delistings are mostly ACQUISITIONS; magnitude collapses to </w:t>
            </w:r>
            <w:r>
              <w:rPr>
                <w:b/>
              </w:rPr>
              <w:t>~0.4</w:t>
            </w:r>
            <w:r>
              <w:rPr>
                <w:b w:val="0"/>
              </w:rPr>
              <w:t xml:space="preserve"> (0.43 gross / 0.30 borrow / </w:t>
            </w:r>
            <w:r>
              <w:rPr>
                <w:b/>
              </w:rPr>
              <w:t>0.23 long-hedge borrow-free</w:t>
            </w:r>
            <w:r>
              <w:rPr>
                <w:b w:val="0"/>
              </w:rPr>
              <w:t>) (Case 45)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Forward paper-track the momentum sleeve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live launchd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deployed: long/index-hedge sleeve on `com.alpca.forwardtrack` daily, sized tiny on honest 0.23, uncorrelated w/ pairs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test of the DEPLOYED pairs 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SIP PIT large-cap (195+32)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ROBUST</w:t>
            </w:r>
            <w:r>
              <w:rPr>
                <w:b w:val="0"/>
              </w:rPr>
              <w:t>: delisting-aware WF +0.83→+0.93; delisted legs rarely traded (3 names); new `delisting_aware_walkforward` banked (Case 46)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Honest two-sleeve combiner</w:t>
            </w:r>
            <w:r>
              <w:rPr>
                <w:b w:val="0"/>
              </w:rPr>
              <w:t xml:space="preserve"> (WF pairs + momentum, dated)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SIP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DILUTES</w:t>
            </w:r>
            <w:r>
              <w:rPr>
                <w:b w:val="0"/>
              </w:rPr>
              <w:t>: momentum −0.15 over the OOS overlap (carried by 2021); inverse-vol combined 0.47 &lt; pairs-alone 0.83 → deploy pairs alone (Case 47)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Cross-sectional calendar seasonality</w:t>
            </w:r>
            <w:r>
              <w:rPr>
                <w:b w:val="0"/>
              </w:rPr>
              <w:t xml:space="preserve"> (2nd-leg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(zero new data)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uncorrelated (ρ=0.06) + looked +0.35 OOS, but per-year unstable (−2025/−2026); 0.83→0.88 lift was a partial-2026 artifact, dilutes without it (Case 48)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