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Alpca — Strategy Discovery &amp; HFT Assessment</w:t>
      </w:r>
    </w:p>
    <w:p>
      <w:r>
        <w:rPr>
          <w:i/>
        </w:rPr>
        <w:t>Honest findings from a systematic backtest sweep on real Alpaca data (paper). 2026-06-03.</w:t>
      </w:r>
    </w:p>
    <w:p/>
    <w:p>
      <w:pPr>
        <w:pStyle w:val="Heading1"/>
      </w:pPr>
      <w:r>
        <w:t>Executive Summary</w:t>
      </w:r>
    </w:p>
    <w:p>
      <w:r>
        <w:rPr>
          <w:b w:val="0"/>
          <w:i w:val="0"/>
        </w:rPr>
        <w:t>Three findings, in order of importance:</w:t>
      </w:r>
    </w:p>
    <w:p>
      <w:pPr>
        <w:pStyle w:val="ListBullet"/>
      </w:pPr>
      <w:r>
        <w:t>TIMEFRAME is the dominant variable. The same trend/momentum strategies that LOSE ~60% on 1-minute bars (overtrading into transaction costs) RETURN +50% to +113% over 5 years on DAILY bars. Cost-per-trade x turnover was the whole problem.</w:t>
      </w:r>
    </w:p>
    <w:p>
      <w:pPr>
        <w:pStyle w:val="ListBullet"/>
      </w:pPr>
      <w:r>
        <w:t>But that daily "profit" is BETA, not ALPHA. Benchmarked against simply buying and holding, every strategy UNDERPERFORMS. Buy-and-hold returned +245% over 5 years; the best strategy returned +113%. On 15-minute bars all strategies converge to ~84% — essentially buy-and-hold minus costs — with the same drawdown. They capture a fraction of a bull market with less risk; they do not beat the market.</w:t>
      </w:r>
    </w:p>
    <w:p>
      <w:pPr>
        <w:pStyle w:val="ListBullet"/>
      </w:pPr>
      <w:r>
        <w:t>The HFT objective is structurally mismatched with Alpaca paper. Measured signal-to-fill latency is ~1.2 seconds, the data feed is top-of-book IEX only (no order-book depth), and there are no maker rebates. Genuine high-frequency edge decays in milliseconds and requires co-location, direct market access, L2 depth and rebates — none of which this venue provides.</w:t>
      </w:r>
    </w:p>
    <w:p>
      <w:r>
        <w:rPr>
          <w:b/>
          <w:i w:val="0"/>
        </w:rPr>
        <w:t>Bottom line: do not ship a strategy on a bull-market backtest. Real, durable edge requires market-neutral / multi-asset strategies and out-of-sample evaluation — not faster trading on a single rising index.</w:t>
      </w:r>
    </w:p>
    <w:p>
      <w:pPr>
        <w:pStyle w:val="Heading1"/>
      </w:pPr>
      <w:r>
        <w:t>Part 1 — The Discovery Sweep</w:t>
      </w:r>
    </w:p>
    <w:p>
      <w:r>
        <w:rPr>
          <w:b w:val="0"/>
          <w:i w:val="0"/>
        </w:rPr>
        <w:t>Method: scripts/discover_strategies.py runs every one of the 34 registered strategies through the runner-driven backtester (signed positions, realistic fill model with spread + square-root impact + fees, per-session reset) across cached REAL Alpaca bars, then ranks by mean return. Data: 5 years of daily bars for 7 symbols (SPY, QQQ, AAPL, MSFT, NVDA, IWM, TLT) and 3 years of 1-minute bars for SPY/QQQ/AAPL, stored locally.</w:t>
      </w:r>
    </w:p>
    <w:p>
      <w:pPr>
        <w:pStyle w:val="Heading2"/>
      </w:pPr>
      <w:r>
        <w:t>1.1  Daily bars (5yr, 7 symbols) — 21 of 34 strategies "profitable"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Strategy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Mean return (5yr)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Symbols profitable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Max drawdown</w:t>
            </w:r>
          </w:p>
        </w:tc>
      </w:tr>
      <w:tr>
        <w:tc>
          <w:tcPr>
            <w:tcW w:type="dxa" w:w="2160"/>
          </w:tcPr>
          <w:p>
            <w:r>
              <w:t>rsi-mr</w:t>
            </w:r>
          </w:p>
        </w:tc>
        <w:tc>
          <w:tcPr>
            <w:tcW w:type="dxa" w:w="2160"/>
          </w:tcPr>
          <w:p>
            <w:r>
              <w:t>+96%</w:t>
            </w:r>
          </w:p>
        </w:tc>
        <w:tc>
          <w:tcPr>
            <w:tcW w:type="dxa" w:w="2160"/>
          </w:tcPr>
          <w:p>
            <w:r>
              <w:t>7 / 7</w:t>
            </w:r>
          </w:p>
        </w:tc>
        <w:tc>
          <w:tcPr>
            <w:tcW w:type="dxa" w:w="2160"/>
          </w:tcPr>
          <w:p>
            <w:r>
              <w:t>-14%</w:t>
            </w:r>
          </w:p>
        </w:tc>
      </w:tr>
      <w:tr>
        <w:tc>
          <w:tcPr>
            <w:tcW w:type="dxa" w:w="2160"/>
          </w:tcPr>
          <w:p>
            <w:r>
              <w:t>rsi-mr-ls</w:t>
            </w:r>
          </w:p>
        </w:tc>
        <w:tc>
          <w:tcPr>
            <w:tcW w:type="dxa" w:w="2160"/>
          </w:tcPr>
          <w:p>
            <w:r>
              <w:t>+113%</w:t>
            </w:r>
          </w:p>
        </w:tc>
        <w:tc>
          <w:tcPr>
            <w:tcW w:type="dxa" w:w="2160"/>
          </w:tcPr>
          <w:p>
            <w:r>
              <w:t>7 / 7</w:t>
            </w:r>
          </w:p>
        </w:tc>
        <w:tc>
          <w:tcPr>
            <w:tcW w:type="dxa" w:w="2160"/>
          </w:tcPr>
          <w:p>
            <w:r>
              <w:t>-17%</w:t>
            </w:r>
          </w:p>
        </w:tc>
      </w:tr>
      <w:tr>
        <w:tc>
          <w:tcPr>
            <w:tcW w:type="dxa" w:w="2160"/>
          </w:tcPr>
          <w:p>
            <w:r>
              <w:t>supertrend</w:t>
            </w:r>
          </w:p>
        </w:tc>
        <w:tc>
          <w:tcPr>
            <w:tcW w:type="dxa" w:w="2160"/>
          </w:tcPr>
          <w:p>
            <w:r>
              <w:t>+94%</w:t>
            </w:r>
          </w:p>
        </w:tc>
        <w:tc>
          <w:tcPr>
            <w:tcW w:type="dxa" w:w="2160"/>
          </w:tcPr>
          <w:p>
            <w:r>
              <w:t>6 / 7</w:t>
            </w:r>
          </w:p>
        </w:tc>
        <w:tc>
          <w:tcPr>
            <w:tcW w:type="dxa" w:w="2160"/>
          </w:tcPr>
          <w:p>
            <w:r>
              <w:t>-22%</w:t>
            </w:r>
          </w:p>
        </w:tc>
      </w:tr>
      <w:tr>
        <w:tc>
          <w:tcPr>
            <w:tcW w:type="dxa" w:w="2160"/>
          </w:tcPr>
          <w:p>
            <w:r>
              <w:t>rsi-momentum</w:t>
            </w:r>
          </w:p>
        </w:tc>
        <w:tc>
          <w:tcPr>
            <w:tcW w:type="dxa" w:w="2160"/>
          </w:tcPr>
          <w:p>
            <w:r>
              <w:t>+95%</w:t>
            </w:r>
          </w:p>
        </w:tc>
        <w:tc>
          <w:tcPr>
            <w:tcW w:type="dxa" w:w="2160"/>
          </w:tcPr>
          <w:p>
            <w:r>
              <w:t>5 / 7 (25 trades)</w:t>
            </w:r>
          </w:p>
        </w:tc>
        <w:tc>
          <w:tcPr>
            <w:tcW w:type="dxa" w:w="2160"/>
          </w:tcPr>
          <w:p>
            <w:r>
              <w:t>-20%</w:t>
            </w:r>
          </w:p>
        </w:tc>
      </w:tr>
      <w:tr>
        <w:tc>
          <w:tcPr>
            <w:tcW w:type="dxa" w:w="2160"/>
          </w:tcPr>
          <w:p>
            <w:r>
              <w:t>atr-breakout</w:t>
            </w:r>
          </w:p>
        </w:tc>
        <w:tc>
          <w:tcPr>
            <w:tcW w:type="dxa" w:w="2160"/>
          </w:tcPr>
          <w:p>
            <w:r>
              <w:t>+53%</w:t>
            </w:r>
          </w:p>
        </w:tc>
        <w:tc>
          <w:tcPr>
            <w:tcW w:type="dxa" w:w="2160"/>
          </w:tcPr>
          <w:p>
            <w:r>
              <w:t>7 / 7</w:t>
            </w:r>
          </w:p>
        </w:tc>
        <w:tc>
          <w:tcPr>
            <w:tcW w:type="dxa" w:w="2160"/>
          </w:tcPr>
          <w:p>
            <w:r>
              <w:t>-23%</w:t>
            </w:r>
          </w:p>
        </w:tc>
      </w:tr>
      <w:tr>
        <w:tc>
          <w:tcPr>
            <w:tcW w:type="dxa" w:w="2160"/>
          </w:tcPr>
          <w:p>
            <w:r>
              <w:t>donchian</w:t>
            </w:r>
          </w:p>
        </w:tc>
        <w:tc>
          <w:tcPr>
            <w:tcW w:type="dxa" w:w="2160"/>
          </w:tcPr>
          <w:p>
            <w:r>
              <w:t>+61%</w:t>
            </w:r>
          </w:p>
        </w:tc>
        <w:tc>
          <w:tcPr>
            <w:tcW w:type="dxa" w:w="2160"/>
          </w:tcPr>
          <w:p>
            <w:r>
              <w:t>5 / 7</w:t>
            </w:r>
          </w:p>
        </w:tc>
        <w:tc>
          <w:tcPr>
            <w:tcW w:type="dxa" w:w="2160"/>
          </w:tcPr>
          <w:p>
            <w:r>
              <w:t>-25%</w:t>
            </w:r>
          </w:p>
        </w:tc>
      </w:tr>
      <w:tr>
        <w:tc>
          <w:tcPr>
            <w:tcW w:type="dxa" w:w="2160"/>
          </w:tcPr>
          <w:p>
            <w:r>
              <w:t>ensemble</w:t>
            </w:r>
          </w:p>
        </w:tc>
        <w:tc>
          <w:tcPr>
            <w:tcW w:type="dxa" w:w="2160"/>
          </w:tcPr>
          <w:p>
            <w:r>
              <w:t>+57%</w:t>
            </w:r>
          </w:p>
        </w:tc>
        <w:tc>
          <w:tcPr>
            <w:tcW w:type="dxa" w:w="2160"/>
          </w:tcPr>
          <w:p>
            <w:r>
              <w:t>6 / 7</w:t>
            </w:r>
          </w:p>
        </w:tc>
        <w:tc>
          <w:tcPr>
            <w:tcW w:type="dxa" w:w="2160"/>
          </w:tcPr>
          <w:p>
            <w:r>
              <w:t>-25%</w:t>
            </w:r>
          </w:p>
        </w:tc>
      </w:tr>
      <w:tr>
        <w:tc>
          <w:tcPr>
            <w:tcW w:type="dxa" w:w="2160"/>
          </w:tcPr>
          <w:p>
            <w:r>
              <w:t>council</w:t>
            </w:r>
          </w:p>
        </w:tc>
        <w:tc>
          <w:tcPr>
            <w:tcW w:type="dxa" w:w="2160"/>
          </w:tcPr>
          <w:p>
            <w:r>
              <w:t>+42%</w:t>
            </w:r>
          </w:p>
        </w:tc>
        <w:tc>
          <w:tcPr>
            <w:tcW w:type="dxa" w:w="2160"/>
          </w:tcPr>
          <w:p>
            <w:r>
              <w:t>4 / 7</w:t>
            </w:r>
          </w:p>
        </w:tc>
        <w:tc>
          <w:tcPr>
            <w:tcW w:type="dxa" w:w="2160"/>
          </w:tcPr>
          <w:p>
            <w:r>
              <w:t>-19%</w:t>
            </w:r>
          </w:p>
        </w:tc>
      </w:tr>
    </w:tbl>
    <w:p>
      <w:r>
        <w:rPr>
          <w:b w:val="0"/>
          <w:i/>
        </w:rPr>
        <w:t>At face value this looks excellent — low-turnover trend/momentum strategies make 50-113% over 5 years with single-digit-to-low-twenties drawdowns. This is what tempts people to ship. (See Part 2 for why that is a trap.)</w:t>
      </w:r>
    </w:p>
    <w:p>
      <w:pPr>
        <w:pStyle w:val="Heading2"/>
      </w:pPr>
      <w:r>
        <w:t>1.2  1-minute bars (3yr, SPY/QQQ/AAPL) — only one survives</w:t>
      </w:r>
    </w:p>
    <w:p>
      <w:r>
        <w:rPr>
          <w:b w:val="0"/>
          <w:i w:val="0"/>
        </w:rPr>
        <w:t>On 1-minute bars the same strategies BLEED, because transaction cost (crossing the bid-ask spread) x high turnover overwhelms the signal: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Strategy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Mean return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Trades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session-momentum</w:t>
            </w:r>
          </w:p>
        </w:tc>
        <w:tc>
          <w:tcPr>
            <w:tcW w:type="dxa" w:w="2160"/>
          </w:tcPr>
          <w:p>
            <w:r>
              <w:t>+17.5%</w:t>
            </w:r>
          </w:p>
        </w:tc>
        <w:tc>
          <w:tcPr>
            <w:tcW w:type="dxa" w:w="2160"/>
          </w:tcPr>
          <w:p>
            <w:r>
              <w:t>~400</w:t>
            </w:r>
          </w:p>
        </w:tc>
        <w:tc>
          <w:tcPr>
            <w:tcW w:type="dxa" w:w="2160"/>
          </w:tcPr>
          <w:p>
            <w:r>
              <w:t>ONLY profitable — session-anchored = low turnover</w:t>
            </w:r>
          </w:p>
        </w:tc>
      </w:tr>
      <w:tr>
        <w:tc>
          <w:tcPr>
            <w:tcW w:type="dxa" w:w="2160"/>
          </w:tcPr>
          <w:p>
            <w:r>
              <w:t>donchian-adx</w:t>
            </w:r>
          </w:p>
        </w:tc>
        <w:tc>
          <w:tcPr>
            <w:tcW w:type="dxa" w:w="2160"/>
          </w:tcPr>
          <w:p>
            <w:r>
              <w:t>-35%</w:t>
            </w:r>
          </w:p>
        </w:tc>
        <w:tc>
          <w:tcPr>
            <w:tcW w:type="dxa" w:w="2160"/>
          </w:tcPr>
          <w:p>
            <w:r>
              <w:t>~2,200</w:t>
            </w:r>
          </w:p>
        </w:tc>
        <w:tc>
          <w:tcPr>
            <w:tcW w:type="dxa" w:w="2160"/>
          </w:tcPr>
          <w:p>
            <w:r>
              <w:t>ADX gate halves the bleed but still negative</w:t>
            </w:r>
          </w:p>
        </w:tc>
      </w:tr>
      <w:tr>
        <w:tc>
          <w:tcPr>
            <w:tcW w:type="dxa" w:w="2160"/>
          </w:tcPr>
          <w:p>
            <w:r>
              <w:t>council</w:t>
            </w:r>
          </w:p>
        </w:tc>
        <w:tc>
          <w:tcPr>
            <w:tcW w:type="dxa" w:w="2160"/>
          </w:tcPr>
          <w:p>
            <w:r>
              <w:t>-47%</w:t>
            </w:r>
          </w:p>
        </w:tc>
        <w:tc>
          <w:tcPr>
            <w:tcW w:type="dxa" w:w="2160"/>
          </w:tcPr>
          <w:p>
            <w:r>
              <w:t>~3,700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supertrend</w:t>
            </w:r>
          </w:p>
        </w:tc>
        <w:tc>
          <w:tcPr>
            <w:tcW w:type="dxa" w:w="2160"/>
          </w:tcPr>
          <w:p>
            <w:r>
              <w:t>-75%</w:t>
            </w:r>
          </w:p>
        </w:tc>
        <w:tc>
          <w:tcPr>
            <w:tcW w:type="dxa" w:w="2160"/>
          </w:tcPr>
          <w:p>
            <w:r>
              <w:t>~6,500</w:t>
            </w:r>
          </w:p>
        </w:tc>
        <w:tc>
          <w:tcPr>
            <w:tcW w:type="dxa" w:w="2160"/>
          </w:tcPr>
          <w:p>
            <w:r>
              <w:t>overtrades catastrophically</w:t>
            </w:r>
          </w:p>
        </w:tc>
      </w:tr>
      <w:tr>
        <w:tc>
          <w:tcPr>
            <w:tcW w:type="dxa" w:w="2160"/>
          </w:tcPr>
          <w:p>
            <w:r>
              <w:t>rsi-mr</w:t>
            </w:r>
          </w:p>
        </w:tc>
        <w:tc>
          <w:tcPr>
            <w:tcW w:type="dxa" w:w="2160"/>
          </w:tcPr>
          <w:p>
            <w:r>
              <w:t>-89%</w:t>
            </w:r>
          </w:p>
        </w:tc>
        <w:tc>
          <w:tcPr>
            <w:tcW w:type="dxa" w:w="2160"/>
          </w:tcPr>
          <w:p>
            <w:r>
              <w:t>~15,000</w:t>
            </w:r>
          </w:p>
        </w:tc>
        <w:tc>
          <w:tcPr>
            <w:tcW w:type="dxa" w:w="2160"/>
          </w:tcPr>
          <w:p>
            <w:r>
              <w:t>death by a thousand cuts</w:t>
            </w:r>
          </w:p>
        </w:tc>
      </w:tr>
    </w:tbl>
    <w:p>
      <w:r>
        <w:rPr>
          <w:b w:val="0"/>
          <w:i w:val="0"/>
        </w:rPr>
        <w:t>Confirmation: on the fastest timeframe, only a structurally low-turnover strategy (one decision per session, flat overnight) stays positive. Everything else is destroyed by costs.</w:t>
      </w:r>
    </w:p>
    <w:p>
      <w:pPr>
        <w:pStyle w:val="Heading2"/>
      </w:pPr>
      <w:r>
        <w:t>1.3  Resampling 1-min to higher timeframes</w:t>
      </w:r>
    </w:p>
    <w:p>
      <w:r>
        <w:rPr>
          <w:b w:val="0"/>
          <w:i w:val="0"/>
        </w:rPr>
        <w:t>Resampling the same 1-minute data to 5/15/60-minute bars and re-running the top strategies, the returns jump from deeply negative to ~84% — and, tellingly, ALL strategies converge to nearly the same number (~84-86%) regardless of how different their logic is. That uniformity is the first clue that they are not really doing anything distinct.</w:t>
      </w:r>
    </w:p>
    <w:p>
      <w:pPr>
        <w:pStyle w:val="Heading1"/>
      </w:pPr>
      <w:r>
        <w:t>Part 2 — The Reality Check: Beta, Not Alpha</w:t>
      </w:r>
    </w:p>
    <w:p>
      <w:r>
        <w:rPr>
          <w:b w:val="0"/>
          <w:i w:val="0"/>
        </w:rPr>
        <w:t>The convergence in 1.3 demanded a benchmark. The correct benchmark is buy-and-hold (just owning the asset). Comparing strategies to buy-and-hold separates skill (alpha) from market exposure (beta).</w:t>
      </w:r>
    </w:p>
    <w:p>
      <w:pPr>
        <w:pStyle w:val="Heading2"/>
      </w:pPr>
      <w:r>
        <w:t>2.1  Daily, 5yr, 7 symbols vs buy-and-hold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Return (5yr)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Max drawdown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Return / |drawdown|</w:t>
            </w:r>
          </w:p>
        </w:tc>
      </w:tr>
      <w:tr>
        <w:tc>
          <w:tcPr>
            <w:tcW w:type="dxa" w:w="2160"/>
          </w:tcPr>
          <w:p>
            <w:r>
              <w:t>BUY-AND-HOLD</w:t>
            </w:r>
          </w:p>
        </w:tc>
        <w:tc>
          <w:tcPr>
            <w:tcW w:type="dxa" w:w="2160"/>
          </w:tcPr>
          <w:p>
            <w:r>
              <w:t>+245%</w:t>
            </w:r>
          </w:p>
        </w:tc>
        <w:tc>
          <w:tcPr>
            <w:tcW w:type="dxa" w:w="2160"/>
          </w:tcPr>
          <w:p>
            <w:r>
              <w:t>-38.8%</w:t>
            </w:r>
          </w:p>
        </w:tc>
        <w:tc>
          <w:tcPr>
            <w:tcW w:type="dxa" w:w="2160"/>
          </w:tcPr>
          <w:p>
            <w:r>
              <w:t>6.31</w:t>
            </w:r>
          </w:p>
        </w:tc>
      </w:tr>
      <w:tr>
        <w:tc>
          <w:tcPr>
            <w:tcW w:type="dxa" w:w="2160"/>
          </w:tcPr>
          <w:p>
            <w:r>
              <w:t>rsi-mr</w:t>
            </w:r>
          </w:p>
        </w:tc>
        <w:tc>
          <w:tcPr>
            <w:tcW w:type="dxa" w:w="2160"/>
          </w:tcPr>
          <w:p>
            <w:r>
              <w:t>+96%</w:t>
            </w:r>
          </w:p>
        </w:tc>
        <w:tc>
          <w:tcPr>
            <w:tcW w:type="dxa" w:w="2160"/>
          </w:tcPr>
          <w:p>
            <w:r>
              <w:t>-14.3%</w:t>
            </w:r>
          </w:p>
        </w:tc>
        <w:tc>
          <w:tcPr>
            <w:tcW w:type="dxa" w:w="2160"/>
          </w:tcPr>
          <w:p>
            <w:r>
              <w:t>6.70</w:t>
            </w:r>
          </w:p>
        </w:tc>
      </w:tr>
      <w:tr>
        <w:tc>
          <w:tcPr>
            <w:tcW w:type="dxa" w:w="2160"/>
          </w:tcPr>
          <w:p>
            <w:r>
              <w:t>rsi-mr-ls</w:t>
            </w:r>
          </w:p>
        </w:tc>
        <w:tc>
          <w:tcPr>
            <w:tcW w:type="dxa" w:w="2160"/>
          </w:tcPr>
          <w:p>
            <w:r>
              <w:t>+113%</w:t>
            </w:r>
          </w:p>
        </w:tc>
        <w:tc>
          <w:tcPr>
            <w:tcW w:type="dxa" w:w="2160"/>
          </w:tcPr>
          <w:p>
            <w:r>
              <w:t>-17.4%</w:t>
            </w:r>
          </w:p>
        </w:tc>
        <w:tc>
          <w:tcPr>
            <w:tcW w:type="dxa" w:w="2160"/>
          </w:tcPr>
          <w:p>
            <w:r>
              <w:t>6.49</w:t>
            </w:r>
          </w:p>
        </w:tc>
      </w:tr>
      <w:tr>
        <w:tc>
          <w:tcPr>
            <w:tcW w:type="dxa" w:w="2160"/>
          </w:tcPr>
          <w:p>
            <w:r>
              <w:t>supertrend</w:t>
            </w:r>
          </w:p>
        </w:tc>
        <w:tc>
          <w:tcPr>
            <w:tcW w:type="dxa" w:w="2160"/>
          </w:tcPr>
          <w:p>
            <w:r>
              <w:t>+94%</w:t>
            </w:r>
          </w:p>
        </w:tc>
        <w:tc>
          <w:tcPr>
            <w:tcW w:type="dxa" w:w="2160"/>
          </w:tcPr>
          <w:p>
            <w:r>
              <w:t>-22.4%</w:t>
            </w:r>
          </w:p>
        </w:tc>
        <w:tc>
          <w:tcPr>
            <w:tcW w:type="dxa" w:w="2160"/>
          </w:tcPr>
          <w:p>
            <w:r>
              <w:t>4.17</w:t>
            </w:r>
          </w:p>
        </w:tc>
      </w:tr>
      <w:tr>
        <w:tc>
          <w:tcPr>
            <w:tcW w:type="dxa" w:w="2160"/>
          </w:tcPr>
          <w:p>
            <w:r>
              <w:t>atr-breakout</w:t>
            </w:r>
          </w:p>
        </w:tc>
        <w:tc>
          <w:tcPr>
            <w:tcW w:type="dxa" w:w="2160"/>
          </w:tcPr>
          <w:p>
            <w:r>
              <w:t>+53%</w:t>
            </w:r>
          </w:p>
        </w:tc>
        <w:tc>
          <w:tcPr>
            <w:tcW w:type="dxa" w:w="2160"/>
          </w:tcPr>
          <w:p>
            <w:r>
              <w:t>-22.7%</w:t>
            </w:r>
          </w:p>
        </w:tc>
        <w:tc>
          <w:tcPr>
            <w:tcW w:type="dxa" w:w="2160"/>
          </w:tcPr>
          <w:p>
            <w:r>
              <w:t>2.35</w:t>
            </w:r>
          </w:p>
        </w:tc>
      </w:tr>
      <w:tr>
        <w:tc>
          <w:tcPr>
            <w:tcW w:type="dxa" w:w="2160"/>
          </w:tcPr>
          <w:p>
            <w:r>
              <w:t>council</w:t>
            </w:r>
          </w:p>
        </w:tc>
        <w:tc>
          <w:tcPr>
            <w:tcW w:type="dxa" w:w="2160"/>
          </w:tcPr>
          <w:p>
            <w:r>
              <w:t>+42%</w:t>
            </w:r>
          </w:p>
        </w:tc>
        <w:tc>
          <w:tcPr>
            <w:tcW w:type="dxa" w:w="2160"/>
          </w:tcPr>
          <w:p>
            <w:r>
              <w:t>-19.0%</w:t>
            </w:r>
          </w:p>
        </w:tc>
        <w:tc>
          <w:tcPr>
            <w:tcW w:type="dxa" w:w="2160"/>
          </w:tcPr>
          <w:p>
            <w:r>
              <w:t>2.19</w:t>
            </w:r>
          </w:p>
        </w:tc>
      </w:tr>
    </w:tbl>
    <w:p>
      <w:r>
        <w:rPr>
          <w:b w:val="0"/>
          <w:i w:val="0"/>
        </w:rPr>
        <w:t>Every strategy UNDERPERFORMS buy-and-hold on return by 130-230 percentage points. The only thing they offer is lower drawdown. On a risk-adjusted basis (return divided by max drawdown), only rsi-mr (6.70) marginally edges buy-and-hold (6.31) — a difference well within noise and almost certainly not robust out-of-sample.</w:t>
      </w:r>
    </w:p>
    <w:p>
      <w:pPr>
        <w:pStyle w:val="Heading2"/>
      </w:pPr>
      <w:r>
        <w:t>2.2  15-minute — the smoking gun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Return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Max drawdown</w:t>
            </w:r>
          </w:p>
        </w:tc>
      </w:tr>
      <w:tr>
        <w:tc>
          <w:tcPr>
            <w:tcW w:type="dxa" w:w="2880"/>
          </w:tcPr>
          <w:p>
            <w:r>
              <w:t>BUY-AND-HOLD</w:t>
            </w:r>
          </w:p>
        </w:tc>
        <w:tc>
          <w:tcPr>
            <w:tcW w:type="dxa" w:w="2880"/>
          </w:tcPr>
          <w:p>
            <w:r>
              <w:t>+90%</w:t>
            </w:r>
          </w:p>
        </w:tc>
        <w:tc>
          <w:tcPr>
            <w:tcW w:type="dxa" w:w="2880"/>
          </w:tcPr>
          <w:p>
            <w:r>
              <w:t>-26.5%</w:t>
            </w:r>
          </w:p>
        </w:tc>
      </w:tr>
      <w:tr>
        <w:tc>
          <w:tcPr>
            <w:tcW w:type="dxa" w:w="2880"/>
          </w:tcPr>
          <w:p>
            <w:r>
              <w:t>supertrend</w:t>
            </w:r>
          </w:p>
        </w:tc>
        <w:tc>
          <w:tcPr>
            <w:tcW w:type="dxa" w:w="2880"/>
          </w:tcPr>
          <w:p>
            <w:r>
              <w:t>+84%</w:t>
            </w:r>
          </w:p>
        </w:tc>
        <w:tc>
          <w:tcPr>
            <w:tcW w:type="dxa" w:w="2880"/>
          </w:tcPr>
          <w:p>
            <w:r>
              <w:t>-25.6%</w:t>
            </w:r>
          </w:p>
        </w:tc>
      </w:tr>
      <w:tr>
        <w:tc>
          <w:tcPr>
            <w:tcW w:type="dxa" w:w="2880"/>
          </w:tcPr>
          <w:p>
            <w:r>
              <w:t>donchian</w:t>
            </w:r>
          </w:p>
        </w:tc>
        <w:tc>
          <w:tcPr>
            <w:tcW w:type="dxa" w:w="2880"/>
          </w:tcPr>
          <w:p>
            <w:r>
              <w:t>+84%</w:t>
            </w:r>
          </w:p>
        </w:tc>
        <w:tc>
          <w:tcPr>
            <w:tcW w:type="dxa" w:w="2880"/>
          </w:tcPr>
          <w:p>
            <w:r>
              <w:t>-25.6%</w:t>
            </w:r>
          </w:p>
        </w:tc>
      </w:tr>
      <w:tr>
        <w:tc>
          <w:tcPr>
            <w:tcW w:type="dxa" w:w="2880"/>
          </w:tcPr>
          <w:p>
            <w:r>
              <w:t>rsi-mr</w:t>
            </w:r>
          </w:p>
        </w:tc>
        <w:tc>
          <w:tcPr>
            <w:tcW w:type="dxa" w:w="2880"/>
          </w:tcPr>
          <w:p>
            <w:r>
              <w:t>+84%</w:t>
            </w:r>
          </w:p>
        </w:tc>
        <w:tc>
          <w:tcPr>
            <w:tcW w:type="dxa" w:w="2880"/>
          </w:tcPr>
          <w:p>
            <w:r>
              <w:t>-25.6%</w:t>
            </w:r>
          </w:p>
        </w:tc>
      </w:tr>
      <w:tr>
        <w:tc>
          <w:tcPr>
            <w:tcW w:type="dxa" w:w="2880"/>
          </w:tcPr>
          <w:p>
            <w:r>
              <w:t>session-momentum</w:t>
            </w:r>
          </w:p>
        </w:tc>
        <w:tc>
          <w:tcPr>
            <w:tcW w:type="dxa" w:w="2880"/>
          </w:tcPr>
          <w:p>
            <w:r>
              <w:t>+84%</w:t>
            </w:r>
          </w:p>
        </w:tc>
        <w:tc>
          <w:tcPr>
            <w:tcW w:type="dxa" w:w="2880"/>
          </w:tcPr>
          <w:p>
            <w:r>
              <w:t>-25.6%</w:t>
            </w:r>
          </w:p>
        </w:tc>
      </w:tr>
      <w:tr>
        <w:tc>
          <w:tcPr>
            <w:tcW w:type="dxa" w:w="2880"/>
          </w:tcPr>
          <w:p>
            <w:r>
              <w:t>council</w:t>
            </w:r>
          </w:p>
        </w:tc>
        <w:tc>
          <w:tcPr>
            <w:tcW w:type="dxa" w:w="2880"/>
          </w:tcPr>
          <w:p>
            <w:r>
              <w:t>+84%</w:t>
            </w:r>
          </w:p>
        </w:tc>
        <w:tc>
          <w:tcPr>
            <w:tcW w:type="dxa" w:w="2880"/>
          </w:tcPr>
          <w:p>
            <w:r>
              <w:t>-25.6%</w:t>
            </w:r>
          </w:p>
        </w:tc>
      </w:tr>
    </w:tbl>
    <w:p>
      <w:r>
        <w:rPr>
          <w:b/>
          <w:i w:val="0"/>
        </w:rPr>
        <w:t>Six structurally different strategies — trend-following, mean-reversion, session-momentum, a voting council — produce IDENTICAL results (~84% return, -25.6% drawdown), each ~6% worse than buy-and-hold. They are all just long most of the time in a 3-year bull market, capturing the index minus their trading costs.</w:t>
      </w:r>
    </w:p>
    <w:p>
      <w:pPr>
        <w:pStyle w:val="Heading2"/>
      </w:pPr>
      <w:r>
        <w:t>2.3  Conclusion</w:t>
      </w:r>
    </w:p>
    <w:p>
      <w:r>
        <w:rPr>
          <w:b w:val="0"/>
          <w:i w:val="0"/>
        </w:rPr>
        <w:t>The strategies are profitable in absolute terms only because the market went up. They:</w:t>
      </w:r>
    </w:p>
    <w:p>
      <w:pPr>
        <w:pStyle w:val="ListBullet"/>
      </w:pPr>
      <w:r>
        <w:t>Do NOT beat buy-and-hold on return (they capture a fraction of the upside).</w:t>
      </w:r>
    </w:p>
    <w:p>
      <w:pPr>
        <w:pStyle w:val="ListBullet"/>
      </w:pPr>
      <w:r>
        <w:t>Do reduce drawdown somewhat (they sit in cash part of the time) — this is risk reduction, not edge.</w:t>
      </w:r>
    </w:p>
    <w:p>
      <w:pPr>
        <w:pStyle w:val="ListBullet"/>
      </w:pPr>
      <w:r>
        <w:t>Cannot be distinguished from beta in a bull-only backtest. A bear market would be required to see whether any of them protect capital better than holding.</w:t>
      </w:r>
    </w:p>
    <w:p>
      <w:r>
        <w:rPr>
          <w:b/>
          <w:i w:val="0"/>
        </w:rPr>
        <w:t>Practical takeaway: rsi-mr is a reasonable RISK-REDUCED long (about 40% of the market's return with about 40% of its drawdown) if the goal is lower-volatility market exposure. None of them is a market-beater. Do not confuse a profitable bull-market backtest with a working strategy.</w:t>
      </w:r>
    </w:p>
    <w:p>
      <w:pPr>
        <w:pStyle w:val="Heading1"/>
      </w:pPr>
      <w:r>
        <w:t>Part 3 — The HFT Objective: A Structural Mismatch</w:t>
      </w:r>
    </w:p>
    <w:p>
      <w:r>
        <w:rPr>
          <w:b w:val="0"/>
          <w:i w:val="0"/>
        </w:rPr>
        <w:t>The project's defining feature is first-class signal-to-order-to-fill latency instrumentation — an HFT sensibility. It is worth being precise about what that can and cannot achieve on Alpaca paper.</w:t>
      </w:r>
    </w:p>
    <w:p>
      <w:pPr>
        <w:pStyle w:val="Heading2"/>
      </w:pPr>
      <w:r>
        <w:t>3.1  Measured execution latency (real, from the live paper session)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Latency</w:t>
            </w:r>
          </w:p>
        </w:tc>
      </w:tr>
      <w:tr>
        <w:tc>
          <w:tcPr>
            <w:tcW w:type="dxa" w:w="4320"/>
          </w:tcPr>
          <w:p>
            <w:r>
              <w:t>signal -&gt; submit (our code)</w:t>
            </w:r>
          </w:p>
        </w:tc>
        <w:tc>
          <w:tcPr>
            <w:tcW w:type="dxa" w:w="4320"/>
          </w:tcPr>
          <w:p>
            <w:r>
              <w:t>~10 ms</w:t>
            </w:r>
          </w:p>
        </w:tc>
      </w:tr>
      <w:tr>
        <w:tc>
          <w:tcPr>
            <w:tcW w:type="dxa" w:w="4320"/>
          </w:tcPr>
          <w:p>
            <w:r>
              <w:t>submit -&gt; broker ack</w:t>
            </w:r>
          </w:p>
        </w:tc>
        <w:tc>
          <w:tcPr>
            <w:tcW w:type="dxa" w:w="4320"/>
          </w:tcPr>
          <w:p>
            <w:r>
              <w:t>~200 ms</w:t>
            </w:r>
          </w:p>
        </w:tc>
      </w:tr>
      <w:tr>
        <w:tc>
          <w:tcPr>
            <w:tcW w:type="dxa" w:w="4320"/>
          </w:tcPr>
          <w:p>
            <w:r>
              <w:t>ack -&gt; fill</w:t>
            </w:r>
          </w:p>
        </w:tc>
        <w:tc>
          <w:tcPr>
            <w:tcW w:type="dxa" w:w="4320"/>
          </w:tcPr>
          <w:p>
            <w:r>
              <w:t>~977 ms</w:t>
            </w:r>
          </w:p>
        </w:tc>
      </w:tr>
      <w:tr>
        <w:tc>
          <w:tcPr>
            <w:tcW w:type="dxa" w:w="4320"/>
          </w:tcPr>
          <w:p>
            <w:r>
              <w:t>signal -&gt; fill (end to end)</w:t>
            </w:r>
          </w:p>
        </w:tc>
        <w:tc>
          <w:tcPr>
            <w:tcW w:type="dxa" w:w="4320"/>
          </w:tcPr>
          <w:p>
            <w:r>
              <w:t>~1.2 seconds</w:t>
            </w:r>
          </w:p>
        </w:tc>
      </w:tr>
      <w:tr>
        <w:tc>
          <w:tcPr>
            <w:tcW w:type="dxa" w:w="4320"/>
          </w:tcPr>
          <w:p>
            <w:r>
              <w:t>realized slippage</w:t>
            </w:r>
          </w:p>
        </w:tc>
        <w:tc>
          <w:tcPr>
            <w:tcW w:type="dxa" w:w="4320"/>
          </w:tcPr>
          <w:p>
            <w:r>
              <w:t>0.1 - 1.3 bps</w:t>
            </w:r>
          </w:p>
        </w:tc>
      </w:tr>
    </w:tbl>
    <w:p>
      <w:r>
        <w:rPr>
          <w:b w:val="0"/>
          <w:i w:val="0"/>
        </w:rPr>
        <w:t>End-to-end fill latency is roughly 1.2 SECONDS. For comparison, genuine HFT operates at microseconds to low milliseconds.</w:t>
      </w:r>
    </w:p>
    <w:p>
      <w:pPr>
        <w:pStyle w:val="Heading2"/>
      </w:pPr>
      <w:r>
        <w:t>3.2  What real HFT requires vs what Alpaca paper provides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Requirement for HFT alpha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Alpaca paper</w:t>
            </w:r>
          </w:p>
        </w:tc>
      </w:tr>
      <w:tr>
        <w:tc>
          <w:tcPr>
            <w:tcW w:type="dxa" w:w="4320"/>
          </w:tcPr>
          <w:p>
            <w:r>
              <w:t>Microsecond / low-ms latency</w:t>
            </w:r>
          </w:p>
        </w:tc>
        <w:tc>
          <w:tcPr>
            <w:tcW w:type="dxa" w:w="4320"/>
          </w:tcPr>
          <w:p>
            <w:r>
              <w:t>~1.2 s fill latency</w:t>
            </w:r>
          </w:p>
        </w:tc>
      </w:tr>
      <w:tr>
        <w:tc>
          <w:tcPr>
            <w:tcW w:type="dxa" w:w="4320"/>
          </w:tcPr>
          <w:p>
            <w:r>
              <w:t>Co-location / direct market access</w:t>
            </w:r>
          </w:p>
        </w:tc>
        <w:tc>
          <w:tcPr>
            <w:tcW w:type="dxa" w:w="4320"/>
          </w:tcPr>
          <w:p>
            <w:r>
              <w:t>REST + websocket over the public internet</w:t>
            </w:r>
          </w:p>
        </w:tc>
      </w:tr>
      <w:tr>
        <w:tc>
          <w:tcPr>
            <w:tcW w:type="dxa" w:w="4320"/>
          </w:tcPr>
          <w:p>
            <w:r>
              <w:t>Full L2/L3 order-book depth</w:t>
            </w:r>
          </w:p>
        </w:tc>
        <w:tc>
          <w:tcPr>
            <w:tcW w:type="dxa" w:w="4320"/>
          </w:tcPr>
          <w:p>
            <w:r>
              <w:t>IEX top-of-book only (~2.5% of volume)</w:t>
            </w:r>
          </w:p>
        </w:tc>
      </w:tr>
      <w:tr>
        <w:tc>
          <w:tcPr>
            <w:tcW w:type="dxa" w:w="4320"/>
          </w:tcPr>
          <w:p>
            <w:r>
              <w:t>Maker rebates (earn the spread)</w:t>
            </w:r>
          </w:p>
        </w:tc>
        <w:tc>
          <w:tcPr>
            <w:tcW w:type="dxa" w:w="4320"/>
          </w:tcPr>
          <w:p>
            <w:r>
              <w:t>None — you always cross the spread</w:t>
            </w:r>
          </w:p>
        </w:tc>
      </w:tr>
      <w:tr>
        <w:tc>
          <w:tcPr>
            <w:tcW w:type="dxa" w:w="4320"/>
          </w:tcPr>
          <w:p>
            <w:r>
              <w:t>Queue position / order priority</w:t>
            </w:r>
          </w:p>
        </w:tc>
        <w:tc>
          <w:tcPr>
            <w:tcW w:type="dxa" w:w="4320"/>
          </w:tcPr>
          <w:p>
            <w:r>
              <w:t>Not modeled or accessible</w:t>
            </w:r>
          </w:p>
        </w:tc>
      </w:tr>
    </w:tbl>
    <w:p>
      <w:pPr>
        <w:pStyle w:val="Heading2"/>
      </w:pPr>
      <w:r>
        <w:t>3.3  Why the microstructure strategies cannot profit here</w:t>
      </w:r>
    </w:p>
    <w:p>
      <w:r>
        <w:rPr>
          <w:b w:val="0"/>
          <w:i w:val="0"/>
        </w:rPr>
        <w:t>The microprice and order-flow-imbalance (OFI) strategies were built specifically to exercise the latency thesis. Their edge — a fleeting order-book imbalance — decays in milliseconds. With a ~1.2-second fill latency and a top-of-book-only feed, the imbalance has already resolved before an order can fill. The discovery sweep confirms it: these strategies record 0 meaningful trades / no edge on the available data. They are correct implementations on the wrong venue.</w:t>
      </w:r>
    </w:p>
    <w:p>
      <w:pPr>
        <w:pStyle w:val="Heading2"/>
      </w:pPr>
      <w:r>
        <w:t>3.4  What the latency work IS good for</w:t>
      </w:r>
    </w:p>
    <w:p>
      <w:pPr>
        <w:pStyle w:val="ListBullet"/>
      </w:pPr>
      <w:r>
        <w:t>Honest execution-quality measurement — knowing your true signal-to-fill latency and realized slippage matters for ANY strategy, not just HFT.</w:t>
      </w:r>
    </w:p>
    <w:p>
      <w:pPr>
        <w:pStyle w:val="ListBullet"/>
      </w:pPr>
      <w:r>
        <w:t>Calibrating the offline fill model to reality (done: the calibration job measures real fills each morning).</w:t>
      </w:r>
    </w:p>
    <w:p>
      <w:pPr>
        <w:pStyle w:val="ListBullet"/>
      </w:pPr>
      <w:r>
        <w:t>Catching execution regressions and venue issues.</w:t>
      </w:r>
    </w:p>
    <w:p>
      <w:r>
        <w:rPr>
          <w:b w:val="0"/>
          <w:i w:val="0"/>
        </w:rPr>
        <w:t>But latency instrumentation does not turn a retail paper venue into an HFT venue. On Alpaca, faster trading makes things WORSE (Part 1.2): every extra round trip pays the spread. The viable directions are LOWER frequency (daily/swing, where cost is negligible) or, for real edge, market-neutral strategies (below).</w:t>
      </w:r>
    </w:p>
    <w:p>
      <w:pPr>
        <w:pStyle w:val="Heading1"/>
      </w:pPr>
      <w:r>
        <w:t>Part 4 — Where Real Edge Actually Lives</w:t>
      </w:r>
    </w:p>
    <w:p>
      <w:r>
        <w:rPr>
          <w:b w:val="0"/>
          <w:i w:val="0"/>
        </w:rPr>
        <w:t>Single-asset, long-biased strategies on a rising index cannot demonstrate alpha — they are beta with a volatility filter. To find durable edge:</w:t>
      </w:r>
    </w:p>
    <w:p>
      <w:pPr>
        <w:pStyle w:val="ListBullet"/>
      </w:pPr>
      <w:r>
        <w:t>Market-neutral / long-short / pairs / cross-asset relative strength — returns that do not depend on market direction. This is the crypto / multi-asset roadmap tier and needs new infrastructure (a multi-symbol runner, a crypto feed, funding data).</w:t>
      </w:r>
    </w:p>
    <w:p>
      <w:pPr>
        <w:pStyle w:val="ListBullet"/>
      </w:pPr>
      <w:r>
        <w:t>Out-of-sample and bear-regime evaluation — walk-forward splits; a strategy that only works in the backtested window is overfit.</w:t>
      </w:r>
    </w:p>
    <w:p>
      <w:pPr>
        <w:pStyle w:val="ListBullet"/>
      </w:pPr>
      <w:r>
        <w:t>Always benchmark vs buy-and-hold and report Sharpe — "profitable" must mean "beats holding, risk-adjusted, out-of-sample." (Recommended hardening: bake a buy-and-hold column into discover_strategies.py so this check is automatic.)</w:t>
      </w:r>
    </w:p>
    <w:p>
      <w:pPr>
        <w:pStyle w:val="ListBullet"/>
      </w:pPr>
      <w:r>
        <w:t>If the goal is HFT specifically: it requires a different venue (DMA broker, L2 feed, co-location, maker rebates) — not achievable on Alpaca paper.</w:t>
      </w:r>
    </w:p>
    <w:p/>
    <w:p>
      <w:r>
        <w:rPr>
          <w:b/>
          <w:i w:val="0"/>
        </w:rPr>
        <w:t>Appendix — reproduction</w:t>
      </w:r>
    </w:p>
    <w:p>
      <w:r>
        <w:rPr>
          <w:b w:val="0"/>
          <w:i w:val="0"/>
        </w:rPr>
        <w:t>Discovery sweep:  .venv/bin/python scripts/discover_strategies.py --timeframe 1day --symbols SPY,QQQ,AAPL,MSFT,NVDA,IWM,TLT --cache "/Volumes/My Passport/AlpcaData/cache"</w:t>
      </w:r>
    </w:p>
    <w:p>
      <w:r>
        <w:rPr>
          <w:b w:val="0"/>
          <w:i w:val="0"/>
        </w:rPr>
        <w:t>Test suite: 3,255 tests, 0 failures. Strategies: 34. Data: real Alpaca bars cached on the My Passport drive.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