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Real Nasdaq SI (56 sym); anomaly Sharpe 2.34 *after* DTC-scaled borrow, control mirrors −3.0, turnover 0.01/day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Strong lead</w:t>
            </w:r>
            <w:r>
              <w:rPr>
                <w:b w:val="0"/>
              </w:rPr>
              <w:t xml:space="preserve"> — right sign, survives borrow, low turnover; but only ~1yr (needs FINRA depth)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</w:t>
      </w:r>
      <w:r>
        <w:rPr>
          <w:b/>
        </w:rPr>
        <w:t>A real, tradeable, market-neutral earnings alpha — the rescue of PEAD.</w:t>
      </w:r>
    </w:p>
    <w:p>
      <w:r>
        <w:rPr>
          <w:b w:val="0"/>
        </w:rPr>
        <w:t xml:space="preserve">  Caveats kept honest: only 40 symbols and one (bull-ish) 5-yr regime — but the beta hedge removes</w:t>
      </w:r>
    </w:p>
    <w:p>
      <w:r>
        <w:rPr>
          <w:b w:val="0"/>
        </w:rPr>
        <w:t xml:space="preserve">  the bull tailwind and it *still* survives OOS; the hedge ratio is full-sample (mild optimism).</w:t>
      </w:r>
    </w:p>
    <w:p>
      <w:r>
        <w:rPr>
          <w:b w:val="0"/>
        </w:rPr>
        <w:t xml:space="preserve">  DSR 0.89 sits just under the 0.95 bar — the `avearnings` job filling the universe to 195 is the</w:t>
      </w:r>
    </w:p>
    <w:p>
      <w:r>
        <w:rPr>
          <w:b w:val="0"/>
        </w:rPr>
        <w:t xml:space="preserve">  direct route over it. </w:t>
      </w:r>
      <w:r>
        <w:rPr>
          <w:b/>
        </w:rPr>
        <w:t>Next:</w:t>
      </w:r>
      <w:r>
        <w:rPr>
          <w:b w:val="0"/>
        </w:rPr>
        <w:t xml:space="preserve"> confirm at full breadth, then add as the combiner's 2nd leg.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🟡 (strong lead, power-limited to 1 year)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Result (56 symbols, ~1-yr / ~23 obs each).</w:t>
      </w:r>
      <w:r>
        <w:rPr>
          <w:b w:val="0"/>
        </w:rPr>
        <w:t xml:space="preserve"> *Coverage caveat:* only </w:t>
      </w:r>
      <w:r>
        <w:rPr>
          <w:b/>
        </w:rPr>
        <w:t>56 of 195</w:t>
      </w:r>
      <w:r>
        <w:rPr>
          <w:b w:val="0"/>
        </w:rPr>
        <w:t xml:space="preserve"> universe</w:t>
      </w:r>
    </w:p>
    <w:p>
      <w:r>
        <w:rPr>
          <w:b w:val="0"/>
        </w:rPr>
        <w:t xml:space="preserve">  symbols returned data from Nasdaq's free SI endpoint (139 came back empty) — another reason the</w:t>
      </w:r>
    </w:p>
    <w:p>
      <w:r>
        <w:rPr>
          <w:b w:val="0"/>
        </w:rPr>
        <w:t xml:space="preserve">  full-coverage FINRA feed is the right deepening path.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IS / within-yr 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(short high-DTC), no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2.04 / 4.44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control (chase shorts)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−2.98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−2.09 / −4.48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+ DTC-scaled borrow (the crux)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2.34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1.37 / 3.95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</w:tbl>
    <w:p>
      <w:r>
        <w:rPr>
          <w:b w:val="0"/>
        </w:rPr>
        <w:t xml:space="preserve">  Right sign (the control is a near-perfect mirror), </w:t>
      </w:r>
      <w:r>
        <w:rPr>
          <w:b/>
        </w:rPr>
        <w:t>survives its own DTC-scaled borrow</w:t>
      </w:r>
    </w:p>
    <w:p>
      <w:r>
        <w:rPr>
          <w:b w:val="0"/>
        </w:rPr>
        <w:t xml:space="preserve">  (Sharpe 2.34, IS *and* within-year OOS both positive), low turnover, and statistically significant</w:t>
      </w:r>
    </w:p>
    <w:p>
      <w:r>
        <w:rPr>
          <w:b w:val="0"/>
        </w:rPr>
        <w:t xml:space="preserve">  within the year (PSR 0.99; DSR 0.98 under a clean same-direction deflation). This is the **only</w:t>
      </w:r>
    </w:p>
    <w:p>
      <w:r>
        <w:rPr>
          <w:b w:val="0"/>
        </w:rPr>
        <w:t xml:space="preserve">  scout-#1 signal that clears the bar the others failed** — not a cost-wall casualty (Cases 17/20)</w:t>
      </w:r>
    </w:p>
    <w:p>
      <w:r>
        <w:rPr>
          <w:b w:val="0"/>
        </w:rPr>
        <w:t xml:space="preserve">  nor a placebo failure (Case 19).</w:t>
      </w:r>
    </w:p>
    <w:p>
      <w:pPr>
        <w:pStyle w:val="ListBullet"/>
      </w:pPr>
      <w:r>
        <w:rPr>
          <w:b/>
        </w:rPr>
        <w:t>The binding caveat (why 🟡, not 🟢).</w:t>
      </w:r>
      <w:r>
        <w:rPr>
          <w:b w:val="0"/>
        </w:rPr>
        <w:t xml:space="preserve"> It is </w:t>
      </w:r>
      <w:r>
        <w:rPr>
          <w:b/>
        </w:rPr>
        <w:t>one year, one regime.</w:t>
      </w:r>
      <w:r>
        <w:rPr>
          <w:b w:val="0"/>
        </w:rPr>
        <w:t xml:space="preserve"> DSR/PSR account for</w:t>
      </w:r>
    </w:p>
    <w:p>
      <w:r>
        <w:rPr>
          <w:b w:val="0"/>
        </w:rPr>
        <w:t xml:space="preserve">  sample length and trial count but </w:t>
      </w:r>
      <w:r>
        <w:rPr>
          <w:b/>
        </w:rPr>
        <w:t>not regime risk</w:t>
      </w:r>
      <w:r>
        <w:rPr>
          <w:b w:val="0"/>
        </w:rPr>
        <w:t>, and the free Nasdaq feed gives only ~1 yr</w:t>
      </w:r>
    </w:p>
    <w:p>
      <w:r>
        <w:rPr>
          <w:b w:val="0"/>
        </w:rPr>
        <w:t xml:space="preserve">  (24 settlement points) — there is no true multi-year out-of-sample. A Sharpe of ~2.7 over a single</w:t>
      </w:r>
    </w:p>
    <w:p>
      <w:r>
        <w:rPr>
          <w:b w:val="0"/>
        </w:rPr>
        <w:t xml:space="preserve">  year is exactly the kind of number that can be regime-specific. So this is a **strong lead, not a</w:t>
      </w:r>
    </w:p>
    <w:p>
      <w:r>
        <w:rPr>
          <w:b w:val="0"/>
        </w:rPr>
        <w:t xml:space="preserve">  validated edge.**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The most promising new candidate of the session — but unvalidated on depth.</w:t>
      </w:r>
    </w:p>
    <w:p>
      <w:r>
        <w:rPr>
          <w:b w:val="0"/>
        </w:rPr>
        <w:t xml:space="preserve">  Next step is concrete: pull </w:t>
      </w:r>
      <w:r>
        <w:rPr>
          <w:b/>
        </w:rPr>
        <w:t>multi-year FINRA short-interest history</w:t>
      </w:r>
      <w:r>
        <w:rPr>
          <w:b w:val="0"/>
        </w:rPr>
        <w:t xml:space="preserve"> (the API is reachable) to</w:t>
      </w:r>
    </w:p>
    <w:p>
      <w:r>
        <w:rPr>
          <w:b w:val="0"/>
        </w:rPr>
        <w:t xml:space="preserve">  get a real walk-forward across regimes; if it holds, this becomes a genuine third leg — and being</w:t>
      </w:r>
    </w:p>
    <w:p>
      <w:r>
        <w:rPr>
          <w:b w:val="0"/>
        </w:rPr>
        <w:t xml:space="preserve">  positioning-driven (not price), it should be uncorrelated to both the pairs basket and EAR-PEAD.</w:t>
      </w:r>
    </w:p>
    <w:p>
      <w:r>
        <w:rPr>
          <w:b w:val="0"/>
        </w:rPr>
        <w:t xml:space="preserve">  Until then it stays a lead, sized at zero. (Both the ~1-yr depth *and* Nasdaq's 56/195 coverage</w:t>
      </w:r>
    </w:p>
    <w:p>
      <w:r>
        <w:rPr>
          <w:b w:val="0"/>
        </w:rPr>
        <w:t xml:space="preserve">  are limits FINRA fixes at once.)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