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+0.31</w:t>
            </w:r>
          </w:p>
        </w:tc>
      </w:tr>
    </w:tbl>
    <w:p>
      <w:r>
        <w:rPr>
          <w:b w:val="0"/>
        </w:rPr>
        <w:t xml:space="preserve">  Adding *representative* delistings barely moves momentum (survivor 0.46 → 0.49) — the 0.39 → 1.35 jump</w:t>
      </w:r>
    </w:p>
    <w:p>
      <w:r>
        <w:rPr>
          <w:b w:val="0"/>
        </w:rPr>
        <w:t xml:space="preserve">  in Case 43 was entirely the cherry-picked bankruptcies over-feeding the short leg. **The 0.3–1.1 bracket</w:t>
      </w:r>
    </w:p>
    <w:p>
      <w:r>
        <w:rPr>
          <w:b w:val="0"/>
        </w:rPr>
        <w:t xml:space="preserve">  collapses to ~0.35–0.49.**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(≈0.49</w:t>
      </w:r>
    </w:p>
    <w:p>
      <w:r>
        <w:rPr>
          <w:b w:val="0"/>
        </w:rPr>
        <w:t xml:space="preserve">  gross, ≈0.36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small, not dramatic</w:t>
      </w:r>
      <w:r>
        <w:rPr>
          <w:b w:val="0"/>
        </w:rPr>
        <w:t>, once delistings are representative. Bonus:</w:t>
      </w:r>
    </w:p>
    <w:p>
      <w:r>
        <w:rPr>
          <w:b w:val="0"/>
        </w:rPr>
        <w:t xml:space="preserve">  the </w:t>
      </w:r>
      <w:r>
        <w:rPr>
          <w:b/>
        </w:rPr>
        <w:t>borrow-free long/index-hedged form is now positive (+0.31)</w:t>
      </w:r>
      <w:r>
        <w:rPr>
          <w:b w:val="0"/>
        </w:rPr>
        <w:t xml:space="preserve"> — because representative delistings</w:t>
      </w:r>
    </w:p>
    <w:p>
      <w:r>
        <w:rPr>
          <w:b w:val="0"/>
        </w:rPr>
        <w:t xml:space="preserve">  include acquired *winners* the long leg holds into a buyout premium — so a deployable, borrow-free sleeve</w:t>
      </w:r>
    </w:p>
    <w:p>
      <w:r>
        <w:rPr>
          <w:b w:val="0"/>
        </w:rPr>
        <w:t xml:space="preserve">  may exist at modest Sharpe (the earlier −0.12 was the cherry-picked failures starving the long leg).</w:t>
      </w:r>
    </w:p>
    <w:p>
      <w:r>
        <w:rPr>
          <w:b w:val="0"/>
        </w:rPr>
        <w:t xml:space="preserve">  **Net: momentum is a real but modest (~0.4) edge, uncorrelated with the pairs basket (gate #1), with a</w:t>
      </w:r>
    </w:p>
    <w:p>
      <w:r>
        <w:rPr>
          <w:b w:val="0"/>
        </w:rPr>
        <w:t xml:space="preserve">  plausible borrow-free long/hedged form (~0.3) — a credible weak second leg for the combiner, pending a</w:t>
      </w:r>
    </w:p>
    <w:p>
      <w:r>
        <w:rPr>
          <w:b w:val="0"/>
        </w:rPr>
        <w:t xml:space="preserve">  forward track.** *(Caveat: run on the A–R portion of the 1,707-name pull, 48 representative mid-cap</w:t>
      </w:r>
    </w:p>
    <w:p>
      <w:r>
        <w:rPr>
          <w:b w:val="0"/>
        </w:rPr>
        <w:t xml:space="preserve">  delistings; the full set will firm the number but the direction — bracket collapses to the low end — is</w:t>
      </w:r>
    </w:p>
    <w:p>
      <w:r>
        <w:rPr>
          <w:b w:val="0"/>
        </w:rPr>
        <w:t xml:space="preserve">  unambiguous since ticker letter is uncorrelated with returns.)*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