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Advanced Morphological and Mathematical Paradigms in Financial Forecasting: Beyond Traditional Candlesticks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evolution of financial market forecasting has historically relied on the aggregation of discrete, time-bound price data. The Japanese candlestick, originating in the eighteenth century through the work of rice trader Homma Munehisa (also known as Sokyu Homma), remains the foundational visual morphology for tracking open, high, low, and closing (OHLC) prices over fixed temporal intervals.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While candlesticks provide a robust baseline for observing market volatility and momentum via their bodily dimensions and wicks, they inherently trap market analysis within a rigid, two-dimensional time-series paradigm.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Study of these price charts began long before modern technology enabled instantaneous tick-data transmission, making time-based intervals the default standard out of pure necessity.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However, the assumption that chronological time is the optimal independent variable for modeling financial markets is increasingly challenged by quantitative analysts.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modern quantitative analysis has increasingly pivoted toward alternative and experimental predictive methods that transcend traditional time-based charting. Financial markets are affected by a variety of complex factors, presenting non-linear, non-stationary, and multi-scale fluctuation characteristics that traditional machine learning and standard charting struggle to capture.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To decode these patterns, research has expanded into advanced morphological and mathematical frameworks. These methodologies range from time-agnostic price structures and advanced computer vision applications to deep microstructural order flow analysis, fractal mathematics, and multi-dimensional topological data analysis (TDA). This report provides an exhaustive examination of these alternative prediction methods, exploring their underlying mechanics, algorithmic applications, predictive validities, and inherent statistical limitations.</w:t>
      </w:r>
    </w:p>
    <w:p w:rsidR="00000000" w:rsidDel="00000000" w:rsidP="00000000" w:rsidRDefault="00000000" w:rsidRPr="00000000" w14:paraId="0000000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Abstraction of Time: Time-Agnostic Price Morphologies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Standard technical analysis is fundamentally constrained by its reliance on time bases, where each data point on a chart represents a fixed chronological period regardless of the underlying market activity.</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periods of low liquidity or low volatility, time-based charts continue to print candles, generating substantial visual noise that can obscure the true underlying trend. Time-agnostic charting methods—namely Renko, Kagi, Point &amp; Figure (P&amp;F), and Line Break charts—eliminate the temporal dimension entirely, constructing new morphological forms driven exclusively by absolute price movement.</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Renko charts, derived from the Japanese word "renga" meaning brick, filter out market noise by drawing diagonal sequences of bricks only when an asset's price moves by a predefined, fixed threshold.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Small price fluctuations that generate erratic, misleading patterns in traditional candlesticks are entirely omitted from the visual representation, distilling the data into pure trend trajectories and definitive reversal points.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Kagi charts function under a similar time-independent philosophy but utilize continuous vertical lines connected by horizontal segments.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Kagi chart alters the thickness of the line—transitioning between "yin" and "yang" states—to denote shifts in supply and demand based on historical local minimums and maximums.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Point &amp; Figure charts similarly focus on filtering out noise by plotting alternating columns of X's and O's to represent rising and falling prices, completely untethered from the passage of time.</w:t>
      </w:r>
      <w:r w:rsidDel="00000000" w:rsidR="00000000" w:rsidRPr="00000000">
        <w:rPr>
          <w:rFonts w:ascii="Google Sans" w:cs="Google Sans" w:eastAsia="Google Sans" w:hAnsi="Google Sans"/>
          <w:color w:val="444746"/>
          <w:sz w:val="24"/>
          <w:szCs w:val="24"/>
          <w:vertAlign w:val="superscript"/>
          <w:rtl w:val="0"/>
        </w:rPr>
        <w:t xml:space="preserve">6</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Algorithmic Applications in Statistical Arbitrage and Pairs Trading</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integration of these non-standard charts into algorithmic trading strategies has yielded highly sophisticated models for statistical arbitrage, particularly in pairs trading. Traditional pairs trading relies on fitting asset spreads to an Ornstein-Uhlenbeck (O-U) process, which mathematically models the mean-reverting behavior of a spread between two cointegrated assets.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foundation of this model assumes the price of a traded security </w:t>
      </w:r>
      <w:r w:rsidDel="00000000" w:rsidR="00000000" w:rsidRPr="00000000">
        <w:rPr>
          <w:rFonts w:ascii="Google Sans" w:cs="Google Sans" w:eastAsia="Google Sans" w:hAnsi="Google Sans"/>
          <w:color w:val="1f1f1f"/>
        </w:rPr>
        <w:drawing>
          <wp:inline distB="19050" distT="19050" distL="19050" distR="19050">
            <wp:extent cx="148680" cy="223019"/>
            <wp:effectExtent b="0" l="0" r="0" t="0"/>
            <wp:docPr id="31" name="image15.png"/>
            <a:graphic>
              <a:graphicData uri="http://schemas.openxmlformats.org/drawingml/2006/picture">
                <pic:pic>
                  <pic:nvPicPr>
                    <pic:cNvPr id="0" name="image15.png"/>
                    <pic:cNvPicPr preferRelativeResize="0"/>
                  </pic:nvPicPr>
                  <pic:blipFill>
                    <a:blip r:embed="rId6"/>
                    <a:srcRect b="0" l="0" r="0" t="0"/>
                    <a:stretch>
                      <a:fillRect/>
                    </a:stretch>
                  </pic:blipFill>
                  <pic:spPr>
                    <a:xfrm>
                      <a:off x="0" y="0"/>
                      <a:ext cx="148680" cy="2230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w:t>
      </w:r>
      <w:r w:rsidDel="00000000" w:rsidR="00000000" w:rsidRPr="00000000">
        <w:rPr>
          <w:rFonts w:ascii="Google Sans" w:cs="Google Sans" w:eastAsia="Google Sans" w:hAnsi="Google Sans"/>
          <w:color w:val="1f1f1f"/>
        </w:rPr>
        <w:drawing>
          <wp:inline distB="19050" distT="19050" distL="19050" distR="19050">
            <wp:extent cx="639068" cy="228920"/>
            <wp:effectExtent b="0" l="0" r="0" t="0"/>
            <wp:docPr id="33" name="image13.png"/>
            <a:graphic>
              <a:graphicData uri="http://schemas.openxmlformats.org/drawingml/2006/picture">
                <pic:pic>
                  <pic:nvPicPr>
                    <pic:cNvPr id="0" name="image13.png"/>
                    <pic:cNvPicPr preferRelativeResize="0"/>
                  </pic:nvPicPr>
                  <pic:blipFill>
                    <a:blip r:embed="rId7"/>
                    <a:srcRect b="0" l="0" r="0" t="0"/>
                    <a:stretch>
                      <a:fillRect/>
                    </a:stretch>
                  </pic:blipFill>
                  <pic:spPr>
                    <a:xfrm>
                      <a:off x="0" y="0"/>
                      <a:ext cx="639068" cy="2289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208508" cy="227463"/>
            <wp:effectExtent b="0" l="0" r="0" t="0"/>
            <wp:docPr id="32"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08508" cy="227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satisfies the stochastic differential equation: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35" name="image21.png"/>
            <a:graphic>
              <a:graphicData uri="http://schemas.openxmlformats.org/drawingml/2006/picture">
                <pic:pic>
                  <pic:nvPicPr>
                    <pic:cNvPr id="0" name="image21.png"/>
                    <pic:cNvPicPr preferRelativeResize="0"/>
                  </pic:nvPicPr>
                  <pic:blipFill>
                    <a:blip r:embed="rId9"/>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this equation, </w:t>
      </w:r>
      <w:r w:rsidDel="00000000" w:rsidR="00000000" w:rsidRPr="00000000">
        <w:rPr>
          <w:rFonts w:ascii="Google Sans" w:cs="Google Sans" w:eastAsia="Google Sans" w:hAnsi="Google Sans"/>
          <w:color w:val="1f1f1f"/>
        </w:rPr>
        <w:drawing>
          <wp:inline distB="19050" distT="19050" distL="19050" distR="19050">
            <wp:extent cx="91678" cy="220028"/>
            <wp:effectExtent b="0" l="0" r="0" t="0"/>
            <wp:docPr id="34" name="image24.png"/>
            <a:graphic>
              <a:graphicData uri="http://schemas.openxmlformats.org/drawingml/2006/picture">
                <pic:pic>
                  <pic:nvPicPr>
                    <pic:cNvPr id="0" name="image24.png"/>
                    <pic:cNvPicPr preferRelativeResize="0"/>
                  </pic:nvPicPr>
                  <pic:blipFill>
                    <a:blip r:embed="rId10"/>
                    <a:srcRect b="0" l="0" r="0" t="0"/>
                    <a:stretch>
                      <a:fillRect/>
                    </a:stretch>
                  </pic:blipFill>
                  <pic:spPr>
                    <a:xfrm>
                      <a:off x="0" y="0"/>
                      <a:ext cx="91678" cy="2200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long-term mean of the spread, </w:t>
      </w:r>
      <w:r w:rsidDel="00000000" w:rsidR="00000000" w:rsidRPr="00000000">
        <w:rPr>
          <w:rFonts w:ascii="Google Sans" w:cs="Google Sans" w:eastAsia="Google Sans" w:hAnsi="Google Sans"/>
          <w:color w:val="1f1f1f"/>
        </w:rPr>
        <w:drawing>
          <wp:inline distB="19050" distT="19050" distL="19050" distR="19050">
            <wp:extent cx="111323" cy="222647"/>
            <wp:effectExtent b="0" l="0" r="0" t="0"/>
            <wp:docPr id="38" name="image34.png"/>
            <a:graphic>
              <a:graphicData uri="http://schemas.openxmlformats.org/drawingml/2006/picture">
                <pic:pic>
                  <pic:nvPicPr>
                    <pic:cNvPr id="0" name="image34.png"/>
                    <pic:cNvPicPr preferRelativeResize="0"/>
                  </pic:nvPicPr>
                  <pic:blipFill>
                    <a:blip r:embed="rId11"/>
                    <a:srcRect b="0" l="0" r="0" t="0"/>
                    <a:stretch>
                      <a:fillRect/>
                    </a:stretch>
                  </pic:blipFill>
                  <pic:spPr>
                    <a:xfrm>
                      <a:off x="0" y="0"/>
                      <a:ext cx="111323" cy="22264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mean-reversion speed (the rate at which values regroup around the mean), and </w:t>
      </w:r>
      <w:r w:rsidDel="00000000" w:rsidR="00000000" w:rsidRPr="00000000">
        <w:rPr>
          <w:rFonts w:ascii="Google Sans" w:cs="Google Sans" w:eastAsia="Google Sans" w:hAnsi="Google Sans"/>
          <w:color w:val="1f1f1f"/>
        </w:rPr>
        <w:drawing>
          <wp:inline distB="19050" distT="19050" distL="19050" distR="19050">
            <wp:extent cx="111919" cy="223838"/>
            <wp:effectExtent b="0" l="0" r="0" t="0"/>
            <wp:docPr id="37" name="image17.png"/>
            <a:graphic>
              <a:graphicData uri="http://schemas.openxmlformats.org/drawingml/2006/picture">
                <pic:pic>
                  <pic:nvPicPr>
                    <pic:cNvPr id="0" name="image17.png"/>
                    <pic:cNvPicPr preferRelativeResize="0"/>
                  </pic:nvPicPr>
                  <pic:blipFill>
                    <a:blip r:embed="rId12"/>
                    <a:srcRect b="0" l="0" r="0" t="0"/>
                    <a:stretch>
                      <a:fillRect/>
                    </a:stretch>
                  </pic:blipFill>
                  <pic:spPr>
                    <a:xfrm>
                      <a:off x="0" y="0"/>
                      <a:ext cx="111919" cy="2238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amplitude of randomness or volatility.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Determining the optimal threshold for trading this process has been extensively explored in academic literature. For instance, the Bertram (2010) model utilizes the first-passage time of the process to derive analytic formulae for trading where the price follows an exponential O-U process.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strategy dictates entering a trade when </w:t>
      </w:r>
      <w:r w:rsidDel="00000000" w:rsidR="00000000" w:rsidRPr="00000000">
        <w:rPr>
          <w:rFonts w:ascii="Google Sans" w:cs="Google Sans" w:eastAsia="Google Sans" w:hAnsi="Google Sans"/>
          <w:color w:val="1f1f1f"/>
        </w:rPr>
        <w:drawing>
          <wp:inline distB="19050" distT="19050" distL="19050" distR="19050">
            <wp:extent cx="552003" cy="228415"/>
            <wp:effectExtent b="0" l="0" r="0" t="0"/>
            <wp:docPr id="43"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552003" cy="2284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exiting at </w:t>
      </w:r>
      <w:r w:rsidDel="00000000" w:rsidR="00000000" w:rsidRPr="00000000">
        <w:rPr>
          <w:rFonts w:ascii="Google Sans" w:cs="Google Sans" w:eastAsia="Google Sans" w:hAnsi="Google Sans"/>
          <w:color w:val="1f1f1f"/>
        </w:rPr>
        <w:drawing>
          <wp:inline distB="19050" distT="19050" distL="19050" distR="19050">
            <wp:extent cx="616297" cy="227556"/>
            <wp:effectExtent b="0" l="0" r="0" t="0"/>
            <wp:docPr id="41" name="image19.png"/>
            <a:graphic>
              <a:graphicData uri="http://schemas.openxmlformats.org/drawingml/2006/picture">
                <pic:pic>
                  <pic:nvPicPr>
                    <pic:cNvPr id="0" name="image19.png"/>
                    <pic:cNvPicPr preferRelativeResize="0"/>
                  </pic:nvPicPr>
                  <pic:blipFill>
                    <a:blip r:embed="rId14"/>
                    <a:srcRect b="0" l="0" r="0" t="0"/>
                    <a:stretch>
                      <a:fillRect/>
                    </a:stretch>
                  </pic:blipFill>
                  <pic:spPr>
                    <a:xfrm>
                      <a:off x="0" y="0"/>
                      <a:ext cx="616297" cy="2275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mathematically proving that the maximum expected return or Sharpe ratio occurs when </w:t>
      </w:r>
      <w:r w:rsidDel="00000000" w:rsidR="00000000" w:rsidRPr="00000000">
        <w:rPr>
          <w:rFonts w:ascii="Google Sans" w:cs="Google Sans" w:eastAsia="Google Sans" w:hAnsi="Google Sans"/>
          <w:color w:val="1f1f1f"/>
        </w:rPr>
        <w:drawing>
          <wp:inline distB="19050" distT="19050" distL="19050" distR="19050">
            <wp:extent cx="1573711" cy="228903"/>
            <wp:effectExtent b="0" l="0" r="0" t="0"/>
            <wp:docPr id="48" name="image27.png"/>
            <a:graphic>
              <a:graphicData uri="http://schemas.openxmlformats.org/drawingml/2006/picture">
                <pic:pic>
                  <pic:nvPicPr>
                    <pic:cNvPr id="0" name="image27.png"/>
                    <pic:cNvPicPr preferRelativeResize="0"/>
                  </pic:nvPicPr>
                  <pic:blipFill>
                    <a:blip r:embed="rId15"/>
                    <a:srcRect b="0" l="0" r="0" t="0"/>
                    <a:stretch>
                      <a:fillRect/>
                    </a:stretch>
                  </pic:blipFill>
                  <pic:spPr>
                    <a:xfrm>
                      <a:off x="0" y="0"/>
                      <a:ext cx="1573711" cy="2289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 Zeng and Lee (2014) extension later enhanced this work to allow for short positions by simplifying the optimization problem into a dimensionless system.</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fitting real-world financial data to the strict assumptions of the O-U process frequently encounters structural breaks where the spread permanently deviates, causing the model to fail catastrophically.</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To circumvent these limitations, experimental strategies employ H-construction, leveraging the underlying mechanics of Renko and Kagi charts to identify turning points within a tradable process without relying on strict cointegration assumptions.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H-construction defines turning points (</w:t>
      </w:r>
      <w:r w:rsidDel="00000000" w:rsidR="00000000" w:rsidRPr="00000000">
        <w:rPr>
          <w:rFonts w:ascii="Google Sans" w:cs="Google Sans" w:eastAsia="Google Sans" w:hAnsi="Google Sans"/>
          <w:color w:val="1f1f1f"/>
        </w:rPr>
        <w:drawing>
          <wp:inline distB="19050" distT="19050" distL="19050" distR="19050">
            <wp:extent cx="178891" cy="225967"/>
            <wp:effectExtent b="0" l="0" r="0" t="0"/>
            <wp:docPr id="44" name="image20.png"/>
            <a:graphic>
              <a:graphicData uri="http://schemas.openxmlformats.org/drawingml/2006/picture">
                <pic:pic>
                  <pic:nvPicPr>
                    <pic:cNvPr id="0" name="image20.png"/>
                    <pic:cNvPicPr preferRelativeResize="0"/>
                  </pic:nvPicPr>
                  <pic:blipFill>
                    <a:blip r:embed="rId16"/>
                    <a:srcRect b="0" l="0" r="0" t="0"/>
                    <a:stretch>
                      <a:fillRect/>
                    </a:stretch>
                  </pic:blipFill>
                  <pic:spPr>
                    <a:xfrm>
                      <a:off x="0" y="0"/>
                      <a:ext cx="178891" cy="22596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confirmation points (</w:t>
      </w:r>
      <w:r w:rsidDel="00000000" w:rsidR="00000000" w:rsidRPr="00000000">
        <w:rPr>
          <w:rFonts w:ascii="Google Sans" w:cs="Google Sans" w:eastAsia="Google Sans" w:hAnsi="Google Sans"/>
          <w:color w:val="1f1f1f"/>
        </w:rPr>
        <w:drawing>
          <wp:inline distB="19050" distT="19050" distL="19050" distR="19050">
            <wp:extent cx="167283" cy="223044"/>
            <wp:effectExtent b="0" l="0" r="0" t="0"/>
            <wp:docPr id="46"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167283" cy="2230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within a tradable spread process </w:t>
      </w:r>
      <w:r w:rsidDel="00000000" w:rsidR="00000000" w:rsidRPr="00000000">
        <w:rPr>
          <w:rFonts w:ascii="Google Sans" w:cs="Google Sans" w:eastAsia="Google Sans" w:hAnsi="Google Sans"/>
          <w:color w:val="1f1f1f"/>
        </w:rPr>
        <w:drawing>
          <wp:inline distB="19050" distT="19050" distL="19050" distR="19050">
            <wp:extent cx="354211" cy="229758"/>
            <wp:effectExtent b="0" l="0" r="0" t="0"/>
            <wp:docPr id="49"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354211" cy="22975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measuring the geometric variability of the process through specific H-statistics, algorithmic systems dynamically select between momentum and contrarian execution models.</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H-Statistic Metric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Mathematical Definition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Predictive Application in Algorithmic Trading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H-inversion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219224" cy="200161"/>
                  <wp:effectExtent b="0" l="0" r="0" t="0"/>
                  <wp:docPr id="51" name="image40.png"/>
                  <a:graphic>
                    <a:graphicData uri="http://schemas.openxmlformats.org/drawingml/2006/picture">
                      <pic:pic>
                        <pic:nvPicPr>
                          <pic:cNvPr id="0" name="image40.png"/>
                          <pic:cNvPicPr preferRelativeResize="0"/>
                        </pic:nvPicPr>
                        <pic:blipFill>
                          <a:blip r:embed="rId19"/>
                          <a:srcRect b="0" l="0" r="0" t="0"/>
                          <a:stretch>
                            <a:fillRect/>
                          </a:stretch>
                        </pic:blipFill>
                        <pic:spPr>
                          <a:xfrm>
                            <a:off x="0" y="0"/>
                            <a:ext cx="219224" cy="200161"/>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frequency at which the process changes direction for a selected threshold </w:t>
            </w:r>
            <w:r w:rsidDel="00000000" w:rsidR="00000000" w:rsidRPr="00000000">
              <w:rPr>
                <w:rFonts w:ascii="Google Sans" w:cs="Google Sans" w:eastAsia="Google Sans" w:hAnsi="Google Sans"/>
                <w:color w:val="1f1f1f"/>
                <w:shd w:fill="auto" w:val="clear"/>
              </w:rPr>
              <w:drawing>
                <wp:inline distB="19050" distT="19050" distL="19050" distR="19050">
                  <wp:extent cx="168175" cy="224234"/>
                  <wp:effectExtent b="0" l="0" r="0" t="0"/>
                  <wp:docPr id="53"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over a period </w:t>
            </w:r>
            <w:r w:rsidDel="00000000" w:rsidR="00000000" w:rsidRPr="00000000">
              <w:rPr>
                <w:rFonts w:ascii="Google Sans" w:cs="Google Sans" w:eastAsia="Google Sans" w:hAnsi="Google Sans"/>
                <w:color w:val="1f1f1f"/>
                <w:shd w:fill="auto" w:val="clear"/>
              </w:rPr>
              <w:drawing>
                <wp:inline distB="19050" distT="19050" distL="19050" distR="19050">
                  <wp:extent cx="116681" cy="204192"/>
                  <wp:effectExtent b="0" l="0" r="0" t="0"/>
                  <wp:docPr id="55" name="image30.png"/>
                  <a:graphic>
                    <a:graphicData uri="http://schemas.openxmlformats.org/drawingml/2006/picture">
                      <pic:pic>
                        <pic:nvPicPr>
                          <pic:cNvPr id="0" name="image30.png"/>
                          <pic:cNvPicPr preferRelativeResize="0"/>
                        </pic:nvPicPr>
                        <pic:blipFill>
                          <a:blip r:embed="rId21"/>
                          <a:srcRect b="0" l="0" r="0" t="0"/>
                          <a:stretch>
                            <a:fillRect/>
                          </a:stretch>
                        </pic:blipFill>
                        <pic:spPr>
                          <a:xfrm>
                            <a:off x="0" y="0"/>
                            <a:ext cx="116681" cy="204192"/>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High H-inversion indicates a heavily mean-reverting process. This metric is frequently utilized to rank and select the optimal pairs for trading from a broad asset pool.</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H-distance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94816" cy="204557"/>
                  <wp:effectExtent b="0" l="0" r="0" t="0"/>
                  <wp:docPr id="56"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194816" cy="204557"/>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sum of absolute vertical distances between adjacent local maximums and minimums.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Quantifies the total distance traveled by the asset independent of time, providing a raw measure of directional movement.</w:t>
            </w:r>
            <w:r w:rsidDel="00000000" w:rsidR="00000000" w:rsidRPr="00000000">
              <w:rPr>
                <w:rFonts w:ascii="Google Sans" w:cs="Google Sans" w:eastAsia="Google Sans" w:hAnsi="Google Sans"/>
                <w:color w:val="444746"/>
                <w:sz w:val="24"/>
                <w:szCs w:val="24"/>
                <w:vertAlign w:val="superscript"/>
                <w:rtl w:val="0"/>
              </w:rPr>
              <w:t xml:space="preserve">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H-volatility (</w:t>
            </w: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160288" cy="198002"/>
                  <wp:effectExtent b="0" l="0" r="0" t="0"/>
                  <wp:docPr id="57" name="image45.png"/>
                  <a:graphic>
                    <a:graphicData uri="http://schemas.openxmlformats.org/drawingml/2006/picture">
                      <pic:pic>
                        <pic:nvPicPr>
                          <pic:cNvPr id="0" name="image45.png"/>
                          <pic:cNvPicPr preferRelativeResize="0"/>
                        </pic:nvPicPr>
                        <pic:blipFill>
                          <a:blip r:embed="rId23"/>
                          <a:srcRect b="0" l="0" r="0" t="0"/>
                          <a:stretch>
                            <a:fillRect/>
                          </a:stretch>
                        </pic:blipFill>
                        <pic:spPr>
                          <a:xfrm>
                            <a:off x="0" y="0"/>
                            <a:ext cx="160288" cy="198002"/>
                          </a:xfrm>
                          <a:prstGeom prst="rect"/>
                          <a:ln/>
                        </pic:spPr>
                      </pic:pic>
                    </a:graphicData>
                  </a:graphic>
                </wp:inline>
              </w:drawing>
            </w:r>
            <w:r w:rsidDel="00000000" w:rsidR="00000000" w:rsidRPr="00000000">
              <w:rPr>
                <w:rFonts w:ascii="Google Sans" w:cs="Google Sans" w:eastAsia="Google Sans" w:hAnsi="Google Sans"/>
                <w:b w:val="1"/>
                <w:bCs w:val="1"/>
                <w:color w:val="1f1f1f"/>
                <w:shd w:fill="auto" w:val="clear"/>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average distance between adjacent turning points, mathematically calculated as H-distance divided by H-inversion.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Determines strategy execution parameters. If </w:t>
            </w:r>
            <w:r w:rsidDel="00000000" w:rsidR="00000000" w:rsidRPr="00000000">
              <w:rPr>
                <w:rFonts w:ascii="Google Sans" w:cs="Google Sans" w:eastAsia="Google Sans" w:hAnsi="Google Sans"/>
                <w:color w:val="1f1f1f"/>
                <w:shd w:fill="auto" w:val="clear"/>
              </w:rPr>
              <w:drawing>
                <wp:inline distB="19050" distT="19050" distL="19050" distR="19050">
                  <wp:extent cx="603498" cy="201166"/>
                  <wp:effectExtent b="0" l="0" r="0" t="0"/>
                  <wp:docPr id="58" name="image32.png"/>
                  <a:graphic>
                    <a:graphicData uri="http://schemas.openxmlformats.org/drawingml/2006/picture">
                      <pic:pic>
                        <pic:nvPicPr>
                          <pic:cNvPr id="0" name="image32.png"/>
                          <pic:cNvPicPr preferRelativeResize="0"/>
                        </pic:nvPicPr>
                        <pic:blipFill>
                          <a:blip r:embed="rId24"/>
                          <a:srcRect b="0" l="0" r="0" t="0"/>
                          <a:stretch>
                            <a:fillRect/>
                          </a:stretch>
                        </pic:blipFill>
                        <pic:spPr>
                          <a:xfrm>
                            <a:off x="0" y="0"/>
                            <a:ext cx="603498" cy="2011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 contrarian strategy is executed; if </w:t>
            </w:r>
            <w:r w:rsidDel="00000000" w:rsidR="00000000" w:rsidRPr="00000000">
              <w:rPr>
                <w:rFonts w:ascii="Google Sans" w:cs="Google Sans" w:eastAsia="Google Sans" w:hAnsi="Google Sans"/>
                <w:color w:val="1f1f1f"/>
                <w:shd w:fill="auto" w:val="clear"/>
              </w:rPr>
              <w:drawing>
                <wp:inline distB="19050" distT="19050" distL="19050" distR="19050">
                  <wp:extent cx="603498" cy="201166"/>
                  <wp:effectExtent b="0" l="0" r="0" t="0"/>
                  <wp:docPr id="59" name="image43.png"/>
                  <a:graphic>
                    <a:graphicData uri="http://schemas.openxmlformats.org/drawingml/2006/picture">
                      <pic:pic>
                        <pic:nvPicPr>
                          <pic:cNvPr id="0" name="image43.png"/>
                          <pic:cNvPicPr preferRelativeResize="0"/>
                        </pic:nvPicPr>
                        <pic:blipFill>
                          <a:blip r:embed="rId25"/>
                          <a:srcRect b="0" l="0" r="0" t="0"/>
                          <a:stretch>
                            <a:fillRect/>
                          </a:stretch>
                        </pic:blipFill>
                        <pic:spPr>
                          <a:xfrm>
                            <a:off x="0" y="0"/>
                            <a:ext cx="603498" cy="201166"/>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 momentum strategy is executed.</w:t>
            </w:r>
            <w:r w:rsidDel="00000000" w:rsidR="00000000" w:rsidRPr="00000000">
              <w:rPr>
                <w:rFonts w:ascii="Google Sans" w:cs="Google Sans" w:eastAsia="Google Sans" w:hAnsi="Google Sans"/>
                <w:color w:val="444746"/>
                <w:sz w:val="24"/>
                <w:szCs w:val="24"/>
                <w:vertAlign w:val="superscript"/>
                <w:rtl w:val="0"/>
              </w:rPr>
              <w:t xml:space="preserve">8</w:t>
            </w:r>
          </w:p>
        </w:tc>
      </w:tr>
    </w:tbl>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logic governing these thresholds is deeply rooted in statistical probabilities. If the calculated H-volatility </w:t>
      </w:r>
      <w:r w:rsidDel="00000000" w:rsidR="00000000" w:rsidRPr="00000000">
        <w:rPr>
          <w:rFonts w:ascii="Google Sans" w:cs="Google Sans" w:eastAsia="Google Sans" w:hAnsi="Google Sans"/>
          <w:color w:val="1f1f1f"/>
        </w:rPr>
        <w:drawing>
          <wp:inline distB="19050" distT="19050" distL="19050" distR="19050">
            <wp:extent cx="183208" cy="231420"/>
            <wp:effectExtent b="0" l="0" r="0" t="0"/>
            <wp:docPr id="21" name="image14.png"/>
            <a:graphic>
              <a:graphicData uri="http://schemas.openxmlformats.org/drawingml/2006/picture">
                <pic:pic>
                  <pic:nvPicPr>
                    <pic:cNvPr id="0" name="image14.png"/>
                    <pic:cNvPicPr preferRelativeResize="0"/>
                  </pic:nvPicPr>
                  <pic:blipFill>
                    <a:blip r:embed="rId26"/>
                    <a:srcRect b="0" l="0" r="0" t="0"/>
                    <a:stretch>
                      <a:fillRect/>
                    </a:stretch>
                  </pic:blipFill>
                  <pic:spPr>
                    <a:xfrm>
                      <a:off x="0" y="0"/>
                      <a:ext cx="183208" cy="23142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exactly equal to </w:t>
      </w:r>
      <w:r w:rsidDel="00000000" w:rsidR="00000000" w:rsidRPr="00000000">
        <w:rPr>
          <w:rFonts w:ascii="Google Sans" w:cs="Google Sans" w:eastAsia="Google Sans" w:hAnsi="Google Sans"/>
          <w:color w:val="1f1f1f"/>
        </w:rPr>
        <w:drawing>
          <wp:inline distB="19050" distT="19050" distL="19050" distR="19050">
            <wp:extent cx="260450" cy="231511"/>
            <wp:effectExtent b="0" l="0" r="0" t="0"/>
            <wp:docPr id="22" name="image11.png"/>
            <a:graphic>
              <a:graphicData uri="http://schemas.openxmlformats.org/drawingml/2006/picture">
                <pic:pic>
                  <pic:nvPicPr>
                    <pic:cNvPr id="0" name="image11.png"/>
                    <pic:cNvPicPr preferRelativeResize="0"/>
                  </pic:nvPicPr>
                  <pic:blipFill>
                    <a:blip r:embed="rId27"/>
                    <a:srcRect b="0" l="0" r="0" t="0"/>
                    <a:stretch>
                      <a:fillRect/>
                    </a:stretch>
                  </pic:blipFill>
                  <pic:spPr>
                    <a:xfrm>
                      <a:off x="0" y="0"/>
                      <a:ext cx="260450" cy="2315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market exhibits the properties of a Wiener process (a standard martingale), rendering theoretical profitability impossible as the sequence is a pure random walk.</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By utilizing Renko and Kagi models, algorithms bypass complex mathematical derivations related to spread properties, focusing entirely on the empirical geometric variability of the asset path.</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Furthermore, to adapt to structural failures in asset relationships, advanced pairs trading incorporates Markov Regime-Switching Models.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approach assumes the price series </w:t>
      </w:r>
      <w:r w:rsidDel="00000000" w:rsidR="00000000" w:rsidRPr="00000000">
        <w:rPr>
          <w:rFonts w:ascii="Google Sans" w:cs="Google Sans" w:eastAsia="Google Sans" w:hAnsi="Google Sans"/>
          <w:color w:val="1f1f1f"/>
        </w:rPr>
        <w:drawing>
          <wp:inline distB="19050" distT="19050" distL="19050" distR="19050">
            <wp:extent cx="208508" cy="227463"/>
            <wp:effectExtent b="0" l="0" r="0" t="0"/>
            <wp:docPr id="23" name="image25.png"/>
            <a:graphic>
              <a:graphicData uri="http://schemas.openxmlformats.org/drawingml/2006/picture">
                <pic:pic>
                  <pic:nvPicPr>
                    <pic:cNvPr id="0" name="image25.png"/>
                    <pic:cNvPicPr preferRelativeResize="0"/>
                  </pic:nvPicPr>
                  <pic:blipFill>
                    <a:blip r:embed="rId8"/>
                    <a:srcRect b="0" l="0" r="0" t="0"/>
                    <a:stretch>
                      <a:fillRect/>
                    </a:stretch>
                  </pic:blipFill>
                  <pic:spPr>
                    <a:xfrm>
                      <a:off x="0" y="0"/>
                      <a:ext cx="208508" cy="2274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trading pair operates in discrete states, defined as </w:t>
      </w:r>
      <w:r w:rsidDel="00000000" w:rsidR="00000000" w:rsidRPr="00000000">
        <w:rPr>
          <w:rFonts w:ascii="Google Sans" w:cs="Google Sans" w:eastAsia="Google Sans" w:hAnsi="Google Sans"/>
          <w:color w:val="1f1f1f"/>
        </w:rPr>
        <w:drawing>
          <wp:inline distB="19050" distT="19050" distL="19050" distR="19050">
            <wp:extent cx="1033910" cy="227650"/>
            <wp:effectExtent b="0" l="0" r="0" t="0"/>
            <wp:docPr id="24" name="image35.png"/>
            <a:graphic>
              <a:graphicData uri="http://schemas.openxmlformats.org/drawingml/2006/picture">
                <pic:pic>
                  <pic:nvPicPr>
                    <pic:cNvPr id="0" name="image35.png"/>
                    <pic:cNvPicPr preferRelativeResize="0"/>
                  </pic:nvPicPr>
                  <pic:blipFill>
                    <a:blip r:embed="rId28"/>
                    <a:srcRect b="0" l="0" r="0" t="0"/>
                    <a:stretch>
                      <a:fillRect/>
                    </a:stretch>
                  </pic:blipFill>
                  <pic:spPr>
                    <a:xfrm>
                      <a:off x="0" y="0"/>
                      <a:ext cx="1033910" cy="2276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42428" cy="227885"/>
            <wp:effectExtent b="0" l="0" r="0" t="0"/>
            <wp:docPr id="25" name="image36.png"/>
            <a:graphic>
              <a:graphicData uri="http://schemas.openxmlformats.org/drawingml/2006/picture">
                <pic:pic>
                  <pic:nvPicPr>
                    <pic:cNvPr id="0" name="image36.png"/>
                    <pic:cNvPicPr preferRelativeResize="0"/>
                  </pic:nvPicPr>
                  <pic:blipFill>
                    <a:blip r:embed="rId29"/>
                    <a:srcRect b="0" l="0" r="0" t="0"/>
                    <a:stretch>
                      <a:fillRect/>
                    </a:stretch>
                  </pic:blipFill>
                  <pic:spPr>
                    <a:xfrm>
                      <a:off x="0" y="0"/>
                      <a:ext cx="142428" cy="227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current regime (e.g., State 1 representing a high mean </w:t>
      </w:r>
      <w:r w:rsidDel="00000000" w:rsidR="00000000" w:rsidRPr="00000000">
        <w:rPr>
          <w:rFonts w:ascii="Google Sans" w:cs="Google Sans" w:eastAsia="Google Sans" w:hAnsi="Google Sans"/>
          <w:color w:val="1f1f1f"/>
        </w:rPr>
        <w:drawing>
          <wp:inline distB="19050" distT="19050" distL="19050" distR="19050">
            <wp:extent cx="184994" cy="233676"/>
            <wp:effectExtent b="0" l="0" r="0" t="0"/>
            <wp:docPr id="26" name="image39.png"/>
            <a:graphic>
              <a:graphicData uri="http://schemas.openxmlformats.org/drawingml/2006/picture">
                <pic:pic>
                  <pic:nvPicPr>
                    <pic:cNvPr id="0" name="image39.png"/>
                    <pic:cNvPicPr preferRelativeResize="0"/>
                  </pic:nvPicPr>
                  <pic:blipFill>
                    <a:blip r:embed="rId30"/>
                    <a:srcRect b="0" l="0" r="0" t="0"/>
                    <a:stretch>
                      <a:fillRect/>
                    </a:stretch>
                  </pic:blipFill>
                  <pic:spPr>
                    <a:xfrm>
                      <a:off x="0" y="0"/>
                      <a:ext cx="184994" cy="233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State 2 representing a low mean </w:t>
      </w:r>
      <w:r w:rsidDel="00000000" w:rsidR="00000000" w:rsidRPr="00000000">
        <w:rPr>
          <w:rFonts w:ascii="Google Sans" w:cs="Google Sans" w:eastAsia="Google Sans" w:hAnsi="Google Sans"/>
          <w:color w:val="1f1f1f"/>
        </w:rPr>
        <w:drawing>
          <wp:inline distB="19050" distT="19050" distL="19050" distR="19050">
            <wp:extent cx="184994" cy="233676"/>
            <wp:effectExtent b="0" l="0" r="0" t="0"/>
            <wp:docPr id="27" name="image38.png"/>
            <a:graphic>
              <a:graphicData uri="http://schemas.openxmlformats.org/drawingml/2006/picture">
                <pic:pic>
                  <pic:nvPicPr>
                    <pic:cNvPr id="0" name="image38.png"/>
                    <pic:cNvPicPr preferRelativeResize="0"/>
                  </pic:nvPicPr>
                  <pic:blipFill>
                    <a:blip r:embed="rId31"/>
                    <a:srcRect b="0" l="0" r="0" t="0"/>
                    <a:stretch>
                      <a:fillRect/>
                    </a:stretch>
                  </pic:blipFill>
                  <pic:spPr>
                    <a:xfrm>
                      <a:off x="0" y="0"/>
                      <a:ext cx="184994" cy="23367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Transition probabilities govern the likelihood of moving between these states, allowing algorithms to detect whether a spread deviation is a temporary mean-reverting anomaly or a permanent structural shift in the market regime.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Illusion of Predictability: Look-Ahead Bias and Backtesting Failures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Despite their theoretical utility in filtering noise and isolating trends, applying standard algorithmic backtesting environments to non-time-dependent charts introduces severe systemic risks. Because Renko, Kagi, and Point &amp; Figure charts generate synthetic, continuous price levels rather than recording exact market prints at specific timestamps, backtesting results calculated on these morphologies rarely represent actual live market conditions.</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phenomenon manifests primarily as look-ahead bias, a critical error where future data—unavailable at the time of the simulated decision—is inadvertently used to execute historical trades.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For instance, a strategy evaluated on a Renko chart might trigger an execution at a synthetic brick boundary using the chart's OHLC values.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However, because the Renko calculation often omits the true high or low of the underlying price action to form a perfect brick, the backtest assumes an execution price that may never have existed in the live order book with sufficient liquidity.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Consequently, traders frequently witness an artificially smoothed equity curve presenting a straight line on a logarithmic chart, often boasting unattainable annualized returns greater than 12% and Sharpe ratios exceeding 1.5.</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identification and elimination of look-ahead bias is paramount for experimental predictive models. In time-series analysis, rigorous cross-validation techniques must be applied.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Because standard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28"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-fold cross-validation randomizes data—which destroys the sequential dependency of financial time series—specialized temporal cross-validation must be utilized to ensure the training set strictly precedes the holdout testing set.</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Analysts are advised against manually scrolling charts back in history or observing market replays while coding algorithms to prevent subconscious data-snooping bias.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parallel to this bias is observed in the experimental deployment of Large Language Models (LLMs) for market sentiment analysis and return prediction.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When backtesting LLMs on financial news headlines, researchers must contend with the fact that models like ChatGPT have been pre-trained on years of internet data, embedding specific knowledge of subsequent stock returns into their neural weights.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In evaluating this, researchers differentiate between look-ahead bias and the "distraction effect"—where general knowledge of a named company interferes with the objective measurement of a text's sentiment.</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Surprisingly, empirical studies demonstrate that anonymizing headlines by removing company identifiers actually improves in-sample predictive performance, indicating that the LLM's distraction effect often eclipses the advantage gained from look-ahead bias.</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Deep Learning and Computer Vision in Chart Pattern Recognition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manual visual interpretation to automated quantitative modeling has catalyzed the application of Convolutional Neural Networks (CNNs) and computer vision algorithms to financial morphology.</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Rather than processing discrete numerical time-series arrays, researchers have attempted to abstract the market visually, converting continuous OHLC data into raw chart images to process market dynamics purely through spatial relationships.</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and Limitations of Visual Market Prediction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Advanced state-of-the-art object detection models, specifically YOLO (You Only Look Once) architectures like YOLOv8 and Faster R-CNN, have been deployed to localize and extract specific candlestick patterns from image arrays spanning equities, cryptocurrencies, and forex markets.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These networks attempt to recognize historical formations that human traders have utilized as buy and sell signals.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Modern architectures like the Deep Candlestick Predictor (DCP) framework go further, utilizing a Decomposer method combined with CNN-Autoencoders (CAE) to distill market vigor.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Additionally, generative CNN approaches attempt to create row permutations of indicators across several layers to reduce the spatial bias that arises from a single arrangement of neighboring visual indicators.</w:t>
      </w:r>
      <w:r w:rsidDel="00000000" w:rsidR="00000000" w:rsidRPr="00000000">
        <w:rPr>
          <w:rFonts w:ascii="Google Sans" w:cs="Google Sans" w:eastAsia="Google Sans" w:hAnsi="Google Sans"/>
          <w:color w:val="444746"/>
          <w:sz w:val="24"/>
          <w:szCs w:val="24"/>
          <w:vertAlign w:val="superscript"/>
          <w:rtl w:val="0"/>
        </w:rPr>
        <w:t xml:space="preserve">21</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empirical research reveals profound limitations in purely visual predictive models. While CNNs demonstrate exceptional proficiency in classifying static shapes, their predictive accuracy for market strength routinely plateaus at approximately 0.7—a threshold significantly lower than the performance of complex, purely numerical time-series models.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Crucially, rigorous investigations into these architectures indicate that the incorporation of predefined candlestick patterns—even those accurately detected via specialized Python libraries such as Talib—fails to generate any incremental predictive value over the analysis of raw, unannotated image data.</w:t>
      </w:r>
      <w:r w:rsidDel="00000000" w:rsidR="00000000" w:rsidRPr="00000000">
        <w:rPr>
          <w:rFonts w:ascii="Google Sans" w:cs="Google Sans" w:eastAsia="Google Sans" w:hAnsi="Google Sans"/>
          <w:color w:val="444746"/>
          <w:sz w:val="24"/>
          <w:szCs w:val="24"/>
          <w:vertAlign w:val="superscript"/>
          <w:rtl w:val="0"/>
        </w:rPr>
        <w:t xml:space="preserve">20</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vector of failure in image-based prediction is the catastrophic loss of temporal dynamics.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Financial markets are inherently sequential and continuously evolving; transforming candlestick charts into two-dimensional static images strips the neural network of its ability to weight the chronological relationships and time-decay between consecutive prints.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Furthermore, CNNs applied to stock charts are heavily contingent on the quality of the training dataset; they are highly susceptible to overfitting when architectures are excessively complex or data is tainted by noise.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The data indicates that abstracting price into spatial geometry without preserving the underlying microstructural volume dynamics yields an incomplete, mathematically flawed predictive framework.</w:t>
      </w:r>
    </w:p>
    <w:p w:rsidR="00000000" w:rsidDel="00000000" w:rsidP="00000000" w:rsidRDefault="00000000" w:rsidRPr="00000000" w14:paraId="0000002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Microstructural Morphology: Order Flow and Footprint Analysis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resolve the limitations inherent in two-dimensional price-time analysis and static computer vision, institutional operators and high-frequency trading (HFT) methodologies utilize microstructural morphology, primarily deployed through Order Flow and Footprint charting.</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sophisticated tools disassemble the traditional candlestick, expanding the data matrix into a three-dimensional view encompassing price, time, and executed volume transacted explicitly at the bid and the ask.</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Volume Profiling and Distribution Shapes</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macro-structural level, volume profiling records the distribution of traded volume across specific price levels over a given period, generating a horizontal histogram that visualizes market acceptance and fair value.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By analyzing the morphology of these volume profiles, analysts can deduce the underlying "auction" process.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core components of this analysis include the Point of Control (POC)—the specific price level generating the highest volume of transactions—and the Value Area (VA), representing the price band where approximately 70% of the total trading volume occurred.</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distribution shapes of these profiles provide immediate insight into institutional positioning, characterized by four distinct alphabetic morphologies: D, P, b, and B.</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Profile 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Morphological Structure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Implications and Predictive Context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symmetrical bell curve with the highest volume clustered centrally at the Point of Control (POC).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Indicates total market balance and fair value consensus between buyers and sellers. Predictive of a volatile breakout as institutional players quietly accumulate positions during the choppy consolidation phase.</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wide upper distribution with a long, thin lower tail representing low volume rejection at the bottom.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aggressive buying that forces a new, higher market consensus. Often occurs during sustained uptrends or marks a short-covering rally at the absolute end of a downtrend, signaling bullish continuation.</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wide lower distribution with a long, thin upper tail representing low volume rejection at the top.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Represents aggressive selling and a downward shift in fair value. Typically found in downtrends, but serves as a powerful bearish reversal signal when occurring at the top of an established uptrend as longs exit the market.</w:t>
            </w:r>
            <w:r w:rsidDel="00000000" w:rsidR="00000000" w:rsidRPr="00000000">
              <w:rPr>
                <w:rFonts w:ascii="Google Sans" w:cs="Google Sans" w:eastAsia="Google Sans" w:hAnsi="Google Sans"/>
                <w:color w:val="444746"/>
                <w:sz w:val="24"/>
                <w:szCs w:val="24"/>
                <w:vertAlign w:val="superscript"/>
                <w:rtl w:val="0"/>
              </w:rPr>
              <w:t xml:space="preserve">27</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B-Shape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 double-distribution curve featuring two distinct high-volume nodes, essentially stacking two D-shapes.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Signifies a trend continuation spanning two distinct value areas. The dominance of either the upper or lower POC dictates the underlying institutional bias and the likelihood of price migrating from one node to the other.</w:t>
            </w:r>
            <w:r w:rsidDel="00000000" w:rsidR="00000000" w:rsidRPr="00000000">
              <w:rPr>
                <w:rFonts w:ascii="Google Sans" w:cs="Google Sans" w:eastAsia="Google Sans" w:hAnsi="Google Sans"/>
                <w:color w:val="444746"/>
                <w:sz w:val="24"/>
                <w:szCs w:val="24"/>
                <w:vertAlign w:val="superscript"/>
                <w:rtl w:val="0"/>
              </w:rPr>
              <w:t xml:space="preserve">30</w:t>
            </w:r>
          </w:p>
        </w:tc>
      </w:tr>
    </w:tbl>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edges of these volume nodes, particularly the Value Area High (VAH) and Value Area Low (VAL), function as pivot points. If price attempts to breach these levels but fails because resting limit orders absorb the flow, the market signals a rejection of the new price, offering a high-probability mean-reversion entry.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Granular Mechanics of Footprint Clustering</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While volume profiles aggregate data over time to show where business was conducted, footprint charts dynamically map the precise sequence, flow, and aggression of order execution within individual price bars.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A classic footprint chart visually splits the candlestick body, isolating the bid volume (executed market sell orders) on the left axis and the ask volume (executed market buy orders) on the right axis for every single price tick.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Advanced platforms utilize diagonal footprint modes to track the natural cross-matching of trades across the spread, enabling order flow algorithms to spot imbalances instantaneously.</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micro-level transparency facilitates the identification of highly specific, localized predictive patterns that are entirely invisible on standard charts: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1. Stacked Imbalances and Order Flow Momentum</w:t>
      </w:r>
      <w:r w:rsidDel="00000000" w:rsidR="00000000" w:rsidRPr="00000000">
        <w:rPr>
          <w:rFonts w:ascii="Google Sans" w:cs="Google Sans" w:eastAsia="Google Sans" w:hAnsi="Google Sans"/>
          <w:color w:val="1f1f1f"/>
          <w:rtl w:val="0"/>
        </w:rPr>
        <w:t xml:space="preserve"> An imbalance occurs when the volume of aggressive market orders on one side of the spread significantly eclipses the other, typically measured by a predefined algorithmic ratio exceeding 200% to 400%.</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When multiple consecutive imbalances align vertically at adjacent price levels—known as stacked imbalances—they visually confirm overwhelming, sustained directional participation.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These clustered zones fundamentally alter the market's support and resistance architecture. They represent levels where aggressive participants forced violent price discovery; consequently, when the market inevitably retests these levels, the same institutional participants are highly likely to defend their positions, making stacked imbalances highly predictive support or resistance boundaries.</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2. Institutional Absorption and Delta Divergence</w:t>
      </w:r>
      <w:r w:rsidDel="00000000" w:rsidR="00000000" w:rsidRPr="00000000">
        <w:rPr>
          <w:rFonts w:ascii="Google Sans" w:cs="Google Sans" w:eastAsia="Google Sans" w:hAnsi="Google Sans"/>
          <w:color w:val="1f1f1f"/>
          <w:rtl w:val="0"/>
        </w:rPr>
        <w:t xml:space="preserve"> The core mechanism of market manipulation and institutional positioning is absorption.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Absorption manifests on a footprint chart when heavy aggressive volume strikes a specific price level, yet the price fails to advance, indicating the presence of a larger, passive participant.</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instance, if a massive influx of market buy orders (highlighted as bright green clusters on the ask side) occurs at a resistance level but results in zero upward tick movement, an institutional player is passively absorbing the demand using massive resting limit sell orders.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morphological anomaly often precedes a sharp, violent reversal, particularly when paired with delta divergence.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Delta is a real-time mathematical calculation measuring the net difference between aggressive buyers and sellers within a specific bar.</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If the price structure prints a new marginal high, yet the footprint registers a sharply negative delta at the peak, the structural divergence signals that aggressive sellers have covertly seized control of the auction while retail participants were trapped buying the breakout.</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divergence is considered one of the most reliable early warning signals for an impending rotation.</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rtl w:val="0"/>
        </w:rPr>
        <w:t xml:space="preserve">3. Exhaustion and Unfinished Auctions</w:t>
      </w:r>
      <w:r w:rsidDel="00000000" w:rsidR="00000000" w:rsidRPr="00000000">
        <w:rPr>
          <w:rFonts w:ascii="Google Sans" w:cs="Google Sans" w:eastAsia="Google Sans" w:hAnsi="Google Sans"/>
          <w:color w:val="1f1f1f"/>
          <w:rtl w:val="0"/>
        </w:rPr>
        <w:t xml:space="preserve"> At the extremes of a price movement, footprint charts reveal the precise moment momentum dies. Exhaustion is characterized by a thinning of volume clusters at the absolute high or low of a candle.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For example, during a relentless uptrend, if the footprint indicates that the number of transacted lots dwindles to single digits at the peak, it signifies a total evaporation of buyer interest, forecasting a transition into market balance or a reversal.</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an "unfinished auction" (also referred to as a "zero print" or "unfinished business") occurs when heavy volume is transacted at the extreme high or low tick of a bar without a corresponding zero value on the opposing bid/ask side.</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mechanics of auction market theory dictate that auctions must naturally taper off to a zero print to confirm the end of directional interest.</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An unfinished auction implies that institutional business was prematurely cut off by the close of the temporal period.</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generates a highly predictive statistical expectation that the market will inevitably return to that exact price level to complete the auction mechanism and resolve the liquidity anomaly.</w:t>
      </w:r>
      <w:r w:rsidDel="00000000" w:rsidR="00000000" w:rsidRPr="00000000">
        <w:rPr>
          <w:rFonts w:ascii="Google Sans" w:cs="Google Sans" w:eastAsia="Google Sans" w:hAnsi="Google Sans"/>
          <w:color w:val="444746"/>
          <w:sz w:val="24"/>
          <w:szCs w:val="24"/>
          <w:vertAlign w:val="superscript"/>
          <w:rtl w:val="0"/>
        </w:rPr>
        <w:t xml:space="preserve">35</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Fractal Market Analysis and the Hurst Exponent</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Moving beyond the localized analysis of microstructures, the prediction of macro-market behavior requires addressing the foundational theoretical flaws in the Efficient Market Hypothesis (EMH). Traditional financial models, derived from Louis Bachelier's early frameworks and heavily expanded in the 1960s, assume that asset returns follow a Gaussian random walk.</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This paradigm suggests that prices are memoryless, moving in a state of continuous geometric Brownian motion, rendering future movements independent of past data.</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However, empirical observations—particularly the frequency of catastrophic crashes—demonstrate that financial markets exhibit persistence, bias, and heavy-tailed distributions entirely incompatible with standard normal Gaussian statistics.</w:t>
      </w:r>
      <w:r w:rsidDel="00000000" w:rsidR="00000000" w:rsidRPr="00000000">
        <w:rPr>
          <w:rFonts w:ascii="Google Sans" w:cs="Google Sans" w:eastAsia="Google Sans" w:hAnsi="Google Sans"/>
          <w:color w:val="444746"/>
          <w:sz w:val="24"/>
          <w:szCs w:val="24"/>
          <w:vertAlign w:val="superscript"/>
          <w:rtl w:val="0"/>
        </w:rPr>
        <w:t xml:space="preserve">37</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Fractal Market Analysis (FMA), pioneered by Benoit Mandelbrot and Edgar E. Peters, provides a robust mathematical alternative by viewing markets through the lens of chaos theory and fractional geometry.</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 FMA asserts that markets maintain a self-similar, fractal structure driven by the interaction of investors operating across multiple, overlapping investment horizons—ranging from high-frequency intraday scalpers to multi-year institutional funds.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According to the Fractal Market Hypothesis (FMH), market liquidity is maintained only when these diverse time horizons remain balanced.</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When a specific investment horizon (typically short-term) begins to overwhelmingly dominate, the fractal structure collapses. This misbalance between short and long investment horizons creates immense tension between supply and demand, leading to vanished liquidity and extreme, non-linear volatility events.</w:t>
      </w:r>
      <w:r w:rsidDel="00000000" w:rsidR="00000000" w:rsidRPr="00000000">
        <w:rPr>
          <w:rFonts w:ascii="Google Sans" w:cs="Google Sans" w:eastAsia="Google Sans" w:hAnsi="Google Sans"/>
          <w:color w:val="444746"/>
          <w:sz w:val="24"/>
          <w:szCs w:val="24"/>
          <w:vertAlign w:val="superscript"/>
          <w:rtl w:val="0"/>
        </w:rPr>
        <w:t xml:space="preserve">42</w:t>
      </w:r>
    </w:p>
    <w:p w:rsidR="00000000" w:rsidDel="00000000" w:rsidP="00000000" w:rsidRDefault="00000000" w:rsidRPr="00000000" w14:paraId="0000004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Mechanics of Rescaled Range (R/S) Analysis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mathematical metric of FMA is the Hurst Exponent (</w:t>
      </w:r>
      <w:r w:rsidDel="00000000" w:rsidR="00000000" w:rsidRPr="00000000">
        <w:rPr>
          <w:rFonts w:ascii="Google Sans" w:cs="Google Sans" w:eastAsia="Google Sans" w:hAnsi="Google Sans"/>
          <w:color w:val="1f1f1f"/>
        </w:rPr>
        <w:drawing>
          <wp:inline distB="19050" distT="19050" distL="19050" distR="19050">
            <wp:extent cx="168175" cy="224234"/>
            <wp:effectExtent b="0" l="0" r="0" t="0"/>
            <wp:docPr id="29"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168175" cy="22423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 scalar value originally developed in hydrology by Harold Edwin Hurst, which quantifies the long-term memory and autocorrelation of a given time series.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The Hurst exponent is conventionally estimated using Rescaled Range (R/S) analysis, which measures the rate at which the variance of a log price series expands relative to the time elapsed (</w:t>
      </w:r>
      <w:r w:rsidDel="00000000" w:rsidR="00000000" w:rsidRPr="00000000">
        <w:rPr>
          <w:rFonts w:ascii="Google Sans" w:cs="Google Sans" w:eastAsia="Google Sans" w:hAnsi="Google Sans"/>
          <w:color w:val="1f1f1f"/>
        </w:rPr>
        <w:drawing>
          <wp:inline distB="19050" distT="19050" distL="19050" distR="19050">
            <wp:extent cx="101500" cy="221455"/>
            <wp:effectExtent b="0" l="0" r="0" t="0"/>
            <wp:docPr id="30" name="image44.png"/>
            <a:graphic>
              <a:graphicData uri="http://schemas.openxmlformats.org/drawingml/2006/picture">
                <pic:pic>
                  <pic:nvPicPr>
                    <pic:cNvPr id="0" name="image44.png"/>
                    <pic:cNvPicPr preferRelativeResize="0"/>
                  </pic:nvPicPr>
                  <pic:blipFill>
                    <a:blip r:embed="rId33"/>
                    <a:srcRect b="0" l="0" r="0" t="0"/>
                    <a:stretch>
                      <a:fillRect/>
                    </a:stretch>
                  </pic:blipFill>
                  <pic:spPr>
                    <a:xfrm>
                      <a:off x="0" y="0"/>
                      <a:ext cx="101500" cy="2214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underlying mathematical relationship assumes the form:</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1" name="image31.png"/>
            <a:graphic>
              <a:graphicData uri="http://schemas.openxmlformats.org/drawingml/2006/picture">
                <pic:pic>
                  <pic:nvPicPr>
                    <pic:cNvPr id="0" name="image31.png"/>
                    <pic:cNvPicPr preferRelativeResize="0"/>
                  </pic:nvPicPr>
                  <pic:blipFill>
                    <a:blip r:embed="rId34"/>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evaluating the rescaled range over varying time scales, the resulting Hurst exponent categorizes the underlying financial process into three distinct behavioral regimes </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Hurst Exponent Value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Characteristic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Implication for Algorithmic Execution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864691" cy="199544"/>
                  <wp:effectExtent b="0" l="0" r="0" t="0"/>
                  <wp:docPr id="12" name="image2.png"/>
                  <a:graphic>
                    <a:graphicData uri="http://schemas.openxmlformats.org/drawingml/2006/picture">
                      <pic:pic>
                        <pic:nvPicPr>
                          <pic:cNvPr id="0" name="image2.png"/>
                          <pic:cNvPicPr preferRelativeResize="0"/>
                        </pic:nvPicPr>
                        <pic:blipFill>
                          <a:blip r:embed="rId35"/>
                          <a:srcRect b="0" l="0" r="0" t="0"/>
                          <a:stretch>
                            <a:fillRect/>
                          </a:stretch>
                        </pic:blipFill>
                        <pic:spPr>
                          <a:xfrm>
                            <a:off x="0" y="0"/>
                            <a:ext cx="864691" cy="199544"/>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Anti-persistent / Mean-reverting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is prone to frequent reversals. An upward move is highly likely to be followed by a downward move. This regime is optimal for oscillator-based, overbought/oversold contrarian strategies.</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568672" cy="199035"/>
                  <wp:effectExtent b="0" l="0" r="0" t="0"/>
                  <wp:docPr id="13" name="image6.png"/>
                  <a:graphic>
                    <a:graphicData uri="http://schemas.openxmlformats.org/drawingml/2006/picture">
                      <pic:pic>
                        <pic:nvPicPr>
                          <pic:cNvPr id="0" name="image6.png"/>
                          <pic:cNvPicPr preferRelativeResize="0"/>
                        </pic:nvPicPr>
                        <pic:blipFill>
                          <a:blip r:embed="rId36"/>
                          <a:srcRect b="0" l="0" r="0" t="0"/>
                          <a:stretch>
                            <a:fillRect/>
                          </a:stretch>
                        </pic:blipFill>
                        <pic:spPr>
                          <a:xfrm>
                            <a:off x="0" y="0"/>
                            <a:ext cx="568672" cy="1990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Random Walk / Brownian Motion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is perfectly random and memoryless. Price movements are completely independent, rendering technical analysis and directional predictions statistically invalid.</w:t>
            </w:r>
            <w:r w:rsidDel="00000000" w:rsidR="00000000" w:rsidRPr="00000000">
              <w:rPr>
                <w:rFonts w:ascii="Google Sans" w:cs="Google Sans" w:eastAsia="Google Sans" w:hAnsi="Google Sans"/>
                <w:color w:val="444746"/>
                <w:sz w:val="24"/>
                <w:szCs w:val="24"/>
                <w:vertAlign w:val="superscript"/>
                <w:rtl w:val="0"/>
              </w:rPr>
              <w:t xml:space="preserve">38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990152" cy="199935"/>
                  <wp:effectExtent b="0" l="0" r="0" t="0"/>
                  <wp:docPr id="14" name="image8.png"/>
                  <a:graphic>
                    <a:graphicData uri="http://schemas.openxmlformats.org/drawingml/2006/picture">
                      <pic:pic>
                        <pic:nvPicPr>
                          <pic:cNvPr id="0" name="image8.png"/>
                          <pic:cNvPicPr preferRelativeResize="0"/>
                        </pic:nvPicPr>
                        <pic:blipFill>
                          <a:blip r:embed="rId37"/>
                          <a:srcRect b="0" l="0" r="0" t="0"/>
                          <a:stretch>
                            <a:fillRect/>
                          </a:stretch>
                        </pic:blipFill>
                        <pic:spPr>
                          <a:xfrm>
                            <a:off x="0" y="0"/>
                            <a:ext cx="990152" cy="199935"/>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Persistent / Trending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series exhibits long-term memory and directional bias. A historical upward trajectory has a high mathematical probability of continuing. This regime is optimal for momentum and trend-following algorithms.</w:t>
            </w:r>
            <w:r w:rsidDel="00000000" w:rsidR="00000000" w:rsidRPr="00000000">
              <w:rPr>
                <w:rFonts w:ascii="Google Sans" w:cs="Google Sans" w:eastAsia="Google Sans" w:hAnsi="Google Sans"/>
                <w:color w:val="444746"/>
                <w:sz w:val="24"/>
                <w:szCs w:val="24"/>
                <w:vertAlign w:val="superscript"/>
                <w:rtl w:val="0"/>
              </w:rPr>
              <w:t xml:space="preserve">38</w:t>
            </w:r>
          </w:p>
        </w:tc>
      </w:tr>
    </w:tbl>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Calculating the Hurst exponent accurately requires accounting for the presence of heavy tails in financial data. Research utilizing extensive Monte Carlo simulations on independent random series from stable distributions (with stability exponent </w:t>
      </w:r>
      <w:r w:rsidDel="00000000" w:rsidR="00000000" w:rsidRPr="00000000">
        <w:rPr>
          <w:rFonts w:ascii="Google Sans" w:cs="Google Sans" w:eastAsia="Google Sans" w:hAnsi="Google Sans"/>
          <w:color w:val="1f1f1f"/>
        </w:rPr>
        <w:drawing>
          <wp:inline distB="19050" distT="19050" distL="19050" distR="19050">
            <wp:extent cx="118616" cy="237232"/>
            <wp:effectExtent b="0" l="0" r="0" t="0"/>
            <wp:docPr id="15"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118616" cy="2372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changing from 1.1 representing the heaviest tails, up to 2 representing a Gaussian normal distribution) reveals variance among calculation methods.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While Multifractal Detrended Fluctuation Analysis (MF-DFA) and Detrending Moving Average (DMA) exist, the Generalized Hurst Exponent (GHE) approach and traditional R/S analysis prove highly robust to heavy-tailed distributions.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GHE consistently provides the lowest variance and bias regardless of sample size.</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Furthermore, time-dependent Hurst exponent estimations calculated on intraday high-frequency data (such as the S&amp;P 500) can uncover exactly how market behavior systematically transitions over long periods.</w:t>
      </w:r>
      <w:r w:rsidDel="00000000" w:rsidR="00000000" w:rsidRPr="00000000">
        <w:rPr>
          <w:rFonts w:ascii="Google Sans" w:cs="Google Sans" w:eastAsia="Google Sans" w:hAnsi="Google Sans"/>
          <w:color w:val="444746"/>
          <w:sz w:val="24"/>
          <w:szCs w:val="24"/>
          <w:vertAlign w:val="superscript"/>
          <w:rtl w:val="0"/>
        </w:rPr>
        <w:t xml:space="preserve">38</w:t>
      </w:r>
    </w:p>
    <w:p w:rsidR="00000000" w:rsidDel="00000000" w:rsidP="00000000" w:rsidRDefault="00000000" w:rsidRPr="00000000" w14:paraId="0000005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Predictive Application and Crisis Case Studies</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predictive validity of the Hurst exponent is highly dependent on shifting market conditions. While it cannot predict the exact moment a reversal will happen, it mathematically dictates which class of algorithmic strategy—mean reversion or trend following—holds the prevailing statistical advantage.</w:t>
      </w:r>
      <w:r w:rsidDel="00000000" w:rsidR="00000000" w:rsidRPr="00000000">
        <w:rPr>
          <w:rFonts w:ascii="Google Sans" w:cs="Google Sans" w:eastAsia="Google Sans" w:hAnsi="Google Sans"/>
          <w:color w:val="444746"/>
          <w:sz w:val="24"/>
          <w:szCs w:val="24"/>
          <w:vertAlign w:val="superscript"/>
          <w:rtl w:val="0"/>
        </w:rPr>
        <w:t xml:space="preserve">44</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Retrospective case studies applying FMA to systemic market failures highlight its superiority over standard EMH frameworks.</w:t>
      </w:r>
      <w:r w:rsidDel="00000000" w:rsidR="00000000" w:rsidRPr="00000000">
        <w:rPr>
          <w:rFonts w:ascii="Google Sans" w:cs="Google Sans" w:eastAsia="Google Sans" w:hAnsi="Google Sans"/>
          <w:color w:val="444746"/>
          <w:sz w:val="24"/>
          <w:szCs w:val="24"/>
          <w:vertAlign w:val="superscript"/>
          <w:rtl w:val="0"/>
        </w:rPr>
        <w:t xml:space="preserve">42</w:t>
      </w:r>
      <w:r w:rsidDel="00000000" w:rsidR="00000000" w:rsidRPr="00000000">
        <w:rPr>
          <w:rFonts w:ascii="Google Sans" w:cs="Google Sans" w:eastAsia="Google Sans" w:hAnsi="Google Sans"/>
          <w:color w:val="1f1f1f"/>
          <w:rtl w:val="0"/>
        </w:rPr>
        <w:t xml:space="preserve"> For instance, analysis of the ABX index—a critical synthetic derivative heavily tied to the subprime mortgage market—demonstrated extreme fractal deviations immediately preceding the collapse of bank equities in 2007-2008.</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Furthermore, calculating the box dimension of indices like the S&amp;P 500 utilizing polynomial regression models has proven effective in providing trend-tracking guidance, yielding root mean square errors (RMSE) as low as 0.08.</w:t>
      </w:r>
      <w:r w:rsidDel="00000000" w:rsidR="00000000" w:rsidRPr="00000000">
        <w:rPr>
          <w:rFonts w:ascii="Google Sans" w:cs="Google Sans" w:eastAsia="Google Sans" w:hAnsi="Google Sans"/>
          <w:color w:val="444746"/>
          <w:sz w:val="24"/>
          <w:szCs w:val="24"/>
          <w:vertAlign w:val="superscript"/>
          <w:rtl w:val="0"/>
        </w:rPr>
        <w:t xml:space="preserve">48</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dynamics of the Hurst exponent during the 2008 Global Financial Crisis provide the most profound evidence of its utility.</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Studies analyzing Asian stock market returns revealed that while tranquil pre-crisis periods exhibited varying degrees of randomness, the onset of the 2008 crisis caused market returns to abruptly display persistent long-term memory (</w:t>
      </w:r>
      <w:r w:rsidDel="00000000" w:rsidR="00000000" w:rsidRPr="00000000">
        <w:rPr>
          <w:rFonts w:ascii="Google Sans" w:cs="Google Sans" w:eastAsia="Google Sans" w:hAnsi="Google Sans"/>
          <w:color w:val="1f1f1f"/>
        </w:rPr>
        <w:drawing>
          <wp:inline distB="19050" distT="19050" distL="19050" distR="19050">
            <wp:extent cx="649784" cy="229336"/>
            <wp:effectExtent b="0" l="0" r="0" t="0"/>
            <wp:docPr id="16" name="image5.png"/>
            <a:graphic>
              <a:graphicData uri="http://schemas.openxmlformats.org/drawingml/2006/picture">
                <pic:pic>
                  <pic:nvPicPr>
                    <pic:cNvPr id="0" name="image5.png"/>
                    <pic:cNvPicPr preferRelativeResize="0"/>
                  </pic:nvPicPr>
                  <pic:blipFill>
                    <a:blip r:embed="rId39"/>
                    <a:srcRect b="0" l="0" r="0" t="0"/>
                    <a:stretch>
                      <a:fillRect/>
                    </a:stretch>
                  </pic:blipFill>
                  <pic:spPr>
                    <a:xfrm>
                      <a:off x="0" y="0"/>
                      <a:ext cx="649784" cy="2293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structural shift was symptomatic of a catastrophic breakdown in market efficiency, driven by the sudden evaporation of long-term investors and a monopolization of the market by short-term panic selling.</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Furthermore, applying copula models to the local Hurst exponents across different global markets demonstrated a massive, highly significant spike in correlation during the 2008 collapse.</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This measurable financial contagion proved that as the fractal structure of liquidity degraded, the self-similarity of market panic synchronized globally.</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Consequently, FMA is capable of identifying structural vulnerability long before the ultimate price bottom is reached, offering a vital macro-overlay for quantitative models.</w:t>
      </w:r>
      <w:r w:rsidDel="00000000" w:rsidR="00000000" w:rsidRPr="00000000">
        <w:rPr>
          <w:rFonts w:ascii="Google Sans" w:cs="Google Sans" w:eastAsia="Google Sans" w:hAnsi="Google Sans"/>
          <w:color w:val="444746"/>
          <w:sz w:val="24"/>
          <w:szCs w:val="24"/>
          <w:vertAlign w:val="superscript"/>
          <w:rtl w:val="0"/>
        </w:rPr>
        <w:t xml:space="preserve">43</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Topological Data Analysis (TDA) in Financial Dimensionality</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most mathematically rigorous advancement in experimental market prediction is the integration of Topological Data Analysis (TDA). TDA bridges algebraic topology, computer science, and non-linear dynamic systems to analyze the fundamental "shape" of multidimensional financial data, completely eschewing traditional point-to-point price analysis.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The core strength of TDA lies in its coordinate-free nature; the output inherits functoriality and is profoundly robust to the severe noise endemic to high-frequency trading datasets, ensuring that small perturbations do not corrupt the topological signature.</w:t>
      </w:r>
      <w:r w:rsidDel="00000000" w:rsidR="00000000" w:rsidRPr="00000000">
        <w:rPr>
          <w:rFonts w:ascii="Google Sans" w:cs="Google Sans" w:eastAsia="Google Sans" w:hAnsi="Google Sans"/>
          <w:color w:val="444746"/>
          <w:sz w:val="24"/>
          <w:szCs w:val="24"/>
          <w:vertAlign w:val="superscript"/>
          <w:rtl w:val="0"/>
        </w:rPr>
        <w:t xml:space="preserve">52</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Persistent Homology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TDA transposes raw time-series data into a high-dimensional topological space using delay embedding theorems (such as Takens' embedding) and sliding window techniques.</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Rather than analyzing simple market networks consisting only of basic nodes (0-simplices) and connecting links (1-simplices), TDA evaluates the cross-correlations of the dataset through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17"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-dimensional simplices, including solid geometric faces (2-simplices) and higher-order geometric tetrahedrons.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analytical engine of TDA is </w:t>
      </w:r>
      <w:r w:rsidDel="00000000" w:rsidR="00000000" w:rsidRPr="00000000">
        <w:rPr>
          <w:rFonts w:ascii="Google Sans" w:cs="Google Sans" w:eastAsia="Google Sans" w:hAnsi="Google Sans"/>
          <w:b w:val="1"/>
          <w:bCs w:val="1"/>
          <w:color w:val="1f1f1f"/>
          <w:rtl w:val="0"/>
        </w:rPr>
        <w:t xml:space="preserve">Persistent Homology</w:t>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 By scanning through a continuum of correlation thresholds—a mathematical procedure known as filtration—TDA continuously monitors the birth, lifespan, and death of topological features across varying resolutions.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Features that persist across a wide range of filtration thresholds are deemed robust, fundamental characteristics of the market's structure, while ephemeral features are discarded as transient noise.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These topological structures are mathematically quantified through </w:t>
      </w:r>
      <w:r w:rsidDel="00000000" w:rsidR="00000000" w:rsidRPr="00000000">
        <w:rPr>
          <w:rFonts w:ascii="Google Sans" w:cs="Google Sans" w:eastAsia="Google Sans" w:hAnsi="Google Sans"/>
          <w:b w:val="1"/>
          <w:bCs w:val="1"/>
          <w:color w:val="1f1f1f"/>
          <w:rtl w:val="0"/>
        </w:rPr>
        <w:t xml:space="preserve">Betti numbers</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84844" cy="233487"/>
            <wp:effectExtent b="0" l="0" r="0" t="0"/>
            <wp:docPr id="18" name="image10.png"/>
            <a:graphic>
              <a:graphicData uri="http://schemas.openxmlformats.org/drawingml/2006/picture">
                <pic:pic>
                  <pic:nvPicPr>
                    <pic:cNvPr id="0" name="image10.png"/>
                    <pic:cNvPicPr preferRelativeResize="0"/>
                  </pic:nvPicPr>
                  <pic:blipFill>
                    <a:blip r:embed="rId40"/>
                    <a:srcRect b="0" l="0" r="0" t="0"/>
                    <a:stretch>
                      <a:fillRect/>
                    </a:stretch>
                  </pic:blipFill>
                  <pic:spPr>
                    <a:xfrm>
                      <a:off x="0" y="0"/>
                      <a:ext cx="184844" cy="233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measure the connectivity and void space of the underlying data cloud.</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55972" cy="204713"/>
            <wp:effectExtent b="0" l="0" r="0" t="0"/>
            <wp:docPr id="19"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connected components or isolated clusters within the space.</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55972" cy="204713"/>
            <wp:effectExtent b="0" l="0" r="0" t="0"/>
            <wp:docPr id="20"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number of one-dimensional holes, loops, or circular structures.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6">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color w:val="444746"/>
          <w:sz w:val="24"/>
          <w:szCs w:val="24"/>
          <w:vertAlign w:val="superscript"/>
        </w:rPr>
        <w:drawing>
          <wp:inline distB="19050" distT="19050" distL="19050" distR="19050">
            <wp:extent cx="155972" cy="204713"/>
            <wp:effectExtent b="0" l="0" r="0" t="0"/>
            <wp:docPr id="1"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two-dimensional voids or cavities bounded by faces within the data.</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Morphological Degradation and Predicting Market Crashes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By mapping Betti numbers, persistent entropy, and Euler characteristics across moving windows, TDA has successfully isolated the exact topological signatures of systemic market crashes.</w:t>
      </w:r>
      <w:r w:rsidDel="00000000" w:rsidR="00000000" w:rsidRPr="00000000">
        <w:rPr>
          <w:rFonts w:ascii="Google Sans" w:cs="Google Sans" w:eastAsia="Google Sans" w:hAnsi="Google Sans"/>
          <w:color w:val="444746"/>
          <w:sz w:val="24"/>
          <w:szCs w:val="24"/>
          <w:vertAlign w:val="superscript"/>
          <w:rtl w:val="0"/>
        </w:rPr>
        <w:t xml:space="preserve">50</w:t>
      </w:r>
      <w:r w:rsidDel="00000000" w:rsidR="00000000" w:rsidRPr="00000000">
        <w:rPr>
          <w:rFonts w:ascii="Google Sans" w:cs="Google Sans" w:eastAsia="Google Sans" w:hAnsi="Google Sans"/>
          <w:color w:val="1f1f1f"/>
          <w:rtl w:val="0"/>
        </w:rPr>
        <w:t xml:space="preserve"> Research tracking major indices, including the Straits Times Index (STI) and the Taiwan Capitalization Weighted Stock Index (TAIEX), exposes a consistent, observable degradation in multi-dimensional topology as a financial crisis unfolds.</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Topological Signature (Betti Dynamics)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Market Microstructure Meaning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Pre-Crash (Bubble State)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51991" cy="201953"/>
                  <wp:effectExtent b="0" l="0" r="0" t="0"/>
                  <wp:docPr id="2" name="image12.png"/>
                  <a:graphic>
                    <a:graphicData uri="http://schemas.openxmlformats.org/drawingml/2006/picture">
                      <pic:pic>
                        <pic:nvPicPr>
                          <pic:cNvPr id="0" name="image12.png"/>
                          <pic:cNvPicPr preferRelativeResize="0"/>
                        </pic:nvPicPr>
                        <pic:blipFill>
                          <a:blip r:embed="rId44"/>
                          <a:srcRect b="0" l="0" r="0" t="0"/>
                          <a:stretch>
                            <a:fillRect/>
                          </a:stretch>
                        </pic:blipFill>
                        <pic:spPr>
                          <a:xfrm>
                            <a:off x="0" y="0"/>
                            <a:ext cx="451991" cy="2019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high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high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4"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market is highly integrated. All stock components act as a single, giant, interconnected cluster (one connected component) with complex, multidimensional cross-correlations forming robust internal voids and loops.</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Onset of Crisis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Pr>
              <w:drawing>
                <wp:inline distB="19050" distT="19050" distL="19050" distR="19050">
                  <wp:extent cx="451991" cy="201953"/>
                  <wp:effectExtent b="0" l="0" r="0" t="0"/>
                  <wp:docPr id="5" name="image1.png"/>
                  <a:graphic>
                    <a:graphicData uri="http://schemas.openxmlformats.org/drawingml/2006/picture">
                      <pic:pic>
                        <pic:nvPicPr>
                          <pic:cNvPr id="0" name="image1.png"/>
                          <pic:cNvPicPr preferRelativeResize="0"/>
                        </pic:nvPicPr>
                        <pic:blipFill>
                          <a:blip r:embed="rId45"/>
                          <a:srcRect b="0" l="0" r="0" t="0"/>
                          <a:stretch>
                            <a:fillRect/>
                          </a:stretch>
                        </pic:blipFill>
                        <pic:spPr>
                          <a:xfrm>
                            <a:off x="0" y="0"/>
                            <a:ext cx="451991" cy="20195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rapid drop in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6"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7"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complex "handles" and higher-dimensional voids of the market surface break. Complex cross-asset correlations begin to fracture as persistent entropy drops, though the main cluster has not yet physically separated.</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Active Crash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Surging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8"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collapsing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9"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The single giant cluster violently shatters into numerous isolated, disjointed asset groups. Market-wide correlation fails, homology groups become drastically less persistent, and individual asset panic takes over.</w:t>
            </w:r>
            <w:r w:rsidDel="00000000" w:rsidR="00000000" w:rsidRPr="00000000">
              <w:rPr>
                <w:rFonts w:ascii="Google Sans" w:cs="Google Sans" w:eastAsia="Google Sans" w:hAnsi="Google Sans"/>
                <w:color w:val="444746"/>
                <w:sz w:val="24"/>
                <w:szCs w:val="24"/>
                <w:vertAlign w:val="superscript"/>
                <w:rtl w:val="0"/>
              </w:rPr>
              <w:t xml:space="preserve">50</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Post-Crash (Bottom)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Extreme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10" name="image3.png"/>
                  <a:graphic>
                    <a:graphicData uri="http://schemas.openxmlformats.org/drawingml/2006/picture">
                      <pic:pic>
                        <pic:nvPicPr>
                          <pic:cNvPr id="0" name="image3.png"/>
                          <pic:cNvPicPr preferRelativeResize="0"/>
                        </pic:nvPicPr>
                        <pic:blipFill>
                          <a:blip r:embed="rId41"/>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near-zero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6" name="image26.png"/>
                  <a:graphic>
                    <a:graphicData uri="http://schemas.openxmlformats.org/drawingml/2006/picture">
                      <pic:pic>
                        <pic:nvPicPr>
                          <pic:cNvPr id="0" name="image26.png"/>
                          <pic:cNvPicPr preferRelativeResize="0"/>
                        </pic:nvPicPr>
                        <pic:blipFill>
                          <a:blip r:embed="rId42"/>
                          <a:srcRect b="0" l="0" r="0" t="0"/>
                          <a:stretch>
                            <a:fillRect/>
                          </a:stretch>
                        </pic:blipFill>
                        <pic:spPr>
                          <a:xfrm>
                            <a:off x="0" y="0"/>
                            <a:ext cx="155972" cy="204713"/>
                          </a:xfrm>
                          <a:prstGeom prst="rect"/>
                          <a:ln/>
                        </pic:spPr>
                      </pic:pic>
                    </a:graphicData>
                  </a:graphic>
                </wp:inline>
              </w:drawing>
            </w:r>
            <w:r w:rsidDel="00000000" w:rsidR="00000000" w:rsidRPr="00000000">
              <w:rPr>
                <w:rFonts w:ascii="Google Sans" w:cs="Google Sans" w:eastAsia="Google Sans" w:hAnsi="Google Sans"/>
                <w:color w:val="1f1f1f"/>
                <w:shd w:fill="auto" w:val="clear"/>
                <w:rtl w:val="0"/>
              </w:rPr>
              <w:t xml:space="preserve"> and </w:t>
            </w:r>
            <w:r w:rsidDel="00000000" w:rsidR="00000000" w:rsidRPr="00000000">
              <w:rPr>
                <w:rFonts w:ascii="Google Sans" w:cs="Google Sans" w:eastAsia="Google Sans" w:hAnsi="Google Sans"/>
                <w:color w:val="1f1f1f"/>
                <w:shd w:fill="auto" w:val="clear"/>
              </w:rPr>
              <w:drawing>
                <wp:inline distB="19050" distT="19050" distL="19050" distR="19050">
                  <wp:extent cx="155972" cy="204713"/>
                  <wp:effectExtent b="0" l="0" r="0" t="0"/>
                  <wp:docPr id="39" name="image7.png"/>
                  <a:graphic>
                    <a:graphicData uri="http://schemas.openxmlformats.org/drawingml/2006/picture">
                      <pic:pic>
                        <pic:nvPicPr>
                          <pic:cNvPr id="0" name="image7.png"/>
                          <pic:cNvPicPr preferRelativeResize="0"/>
                        </pic:nvPicPr>
                        <pic:blipFill>
                          <a:blip r:embed="rId43"/>
                          <a:srcRect b="0" l="0" r="0" t="0"/>
                          <a:stretch>
                            <a:fillRect/>
                          </a:stretch>
                        </pic:blipFill>
                        <pic:spPr>
                          <a:xfrm>
                            <a:off x="0" y="0"/>
                            <a:ext cx="155972" cy="204713"/>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Total fragmentation. The market exists as maximum isolated clusters with virtually no complex structural unity, paving the way for eventual bottom formation.</w:t>
            </w:r>
            <w:r w:rsidDel="00000000" w:rsidR="00000000" w:rsidRPr="00000000">
              <w:rPr>
                <w:rFonts w:ascii="Google Sans" w:cs="Google Sans" w:eastAsia="Google Sans" w:hAnsi="Google Sans"/>
                <w:color w:val="444746"/>
                <w:sz w:val="24"/>
                <w:szCs w:val="24"/>
                <w:vertAlign w:val="superscript"/>
                <w:rtl w:val="0"/>
              </w:rPr>
              <w:t xml:space="preserve">50</w:t>
            </w:r>
          </w:p>
        </w:tc>
      </w:tr>
    </w:tbl>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Beyond post-mortem analysis of historical collapses, TDA offers genuine predictive capability through the generation of early warning signals.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By extracting time-dependent point cloud data sets and generating "persistence landscapes" based on transient loops, researchers can quantify temporal changes mathematically using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40"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In models analyzing both the 2000 Dot-com crash and the 2008 Lehman Brothers bankruptcy, the average spectral density at low frequencies of the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42"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-norms of these persistence landscapes demonstrated a violent, rising trend extending up to 250 trading days prior to the actual meltdown.</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The topology of the market mathematically fractured nearly a year before the price explicitly broke, proving that structural shape is a leading indicator of severe price velocity.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Recent methodologies deriving specific indicators (denoted as L1 and L2) from TDA have successfully mapped exact change points corresponding to the 2011 European debt crisis, Brexit in 2016, the COVID-19 pandemic in 2020, and the energy crisis of 2022, achieving superior F1 scores compared to standard multivariate methods.</w:t>
      </w:r>
      <w:r w:rsidDel="00000000" w:rsidR="00000000" w:rsidRPr="00000000">
        <w:rPr>
          <w:rFonts w:ascii="Google Sans" w:cs="Google Sans" w:eastAsia="Google Sans" w:hAnsi="Google Sans"/>
          <w:color w:val="444746"/>
          <w:sz w:val="24"/>
          <w:szCs w:val="24"/>
          <w:vertAlign w:val="superscript"/>
          <w:rtl w:val="0"/>
        </w:rPr>
        <w:t xml:space="preserve">54</w:t>
      </w:r>
    </w:p>
    <w:p w:rsidR="00000000" w:rsidDel="00000000" w:rsidP="00000000" w:rsidRDefault="00000000" w:rsidRPr="00000000" w14:paraId="0000007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Quantum Implementation and Dimensional Scaling</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prevailing limitation of classical TDA implementation in live algorithmic trading is its immense computational burden. Evaluating persistent homology on classical computer architectures incurs an exponential time complexity of </w:t>
      </w:r>
      <w:r w:rsidDel="00000000" w:rsidR="00000000" w:rsidRPr="00000000">
        <w:rPr>
          <w:rFonts w:ascii="Google Sans" w:cs="Google Sans" w:eastAsia="Google Sans" w:hAnsi="Google Sans"/>
          <w:color w:val="1f1f1f"/>
        </w:rPr>
        <w:drawing>
          <wp:inline distB="19050" distT="19050" distL="19050" distR="19050">
            <wp:extent cx="532805" cy="228345"/>
            <wp:effectExtent b="0" l="0" r="0" t="0"/>
            <wp:docPr id="45" name="image41.png"/>
            <a:graphic>
              <a:graphicData uri="http://schemas.openxmlformats.org/drawingml/2006/picture">
                <pic:pic>
                  <pic:nvPicPr>
                    <pic:cNvPr id="0" name="image41.png"/>
                    <pic:cNvPicPr preferRelativeResize="0"/>
                  </pic:nvPicPr>
                  <pic:blipFill>
                    <a:blip r:embed="rId47"/>
                    <a:srcRect b="0" l="0" r="0" t="0"/>
                    <a:stretch>
                      <a:fillRect/>
                    </a:stretch>
                  </pic:blipFill>
                  <pic:spPr>
                    <a:xfrm>
                      <a:off x="0" y="0"/>
                      <a:ext cx="532805" cy="228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as the dimensions of the dataset expand, making it difficult to process massive, tick-level high-frequency data arrays efficiently.</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recent experimental integrations of quantum computing into topological finance provide a revolutionary solution. Quantum topological analysis leverages the quantum superposition principle to process highly dimensioned data structures simultaneously.</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Utilizing </w:t>
      </w:r>
      <w:r w:rsidDel="00000000" w:rsidR="00000000" w:rsidRPr="00000000">
        <w:rPr>
          <w:rFonts w:ascii="Google Sans" w:cs="Google Sans" w:eastAsia="Google Sans" w:hAnsi="Google Sans"/>
          <w:color w:val="1f1f1f"/>
        </w:rPr>
        <w:drawing>
          <wp:inline distB="19050" distT="19050" distL="19050" distR="19050">
            <wp:extent cx="110728" cy="221456"/>
            <wp:effectExtent b="0" l="0" r="0" t="0"/>
            <wp:docPr id="47" name="image23.png"/>
            <a:graphic>
              <a:graphicData uri="http://schemas.openxmlformats.org/drawingml/2006/picture">
                <pic:pic>
                  <pic:nvPicPr>
                    <pic:cNvPr id="0" name="image23.png"/>
                    <pic:cNvPicPr preferRelativeResize="0"/>
                  </pic:nvPicPr>
                  <pic:blipFill>
                    <a:blip r:embed="rId48"/>
                    <a:srcRect b="0" l="0" r="0" t="0"/>
                    <a:stretch>
                      <a:fillRect/>
                    </a:stretch>
                  </pic:blipFill>
                  <pic:spPr>
                    <a:xfrm>
                      <a:off x="0" y="0"/>
                      <a:ext cx="110728" cy="2214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quantum bits (qubits) to store all </w:t>
      </w:r>
      <w:r w:rsidDel="00000000" w:rsidR="00000000" w:rsidRPr="00000000">
        <w:rPr>
          <w:rFonts w:ascii="Google Sans" w:cs="Google Sans" w:eastAsia="Google Sans" w:hAnsi="Google Sans"/>
          <w:color w:val="1f1f1f"/>
        </w:rPr>
        <w:drawing>
          <wp:inline distB="19050" distT="19050" distL="19050" distR="19050">
            <wp:extent cx="178891" cy="216552"/>
            <wp:effectExtent b="0" l="0" r="0" t="0"/>
            <wp:docPr id="50" name="image42.png"/>
            <a:graphic>
              <a:graphicData uri="http://schemas.openxmlformats.org/drawingml/2006/picture">
                <pic:pic>
                  <pic:nvPicPr>
                    <pic:cNvPr id="0" name="image42.png"/>
                    <pic:cNvPicPr preferRelativeResize="0"/>
                  </pic:nvPicPr>
                  <pic:blipFill>
                    <a:blip r:embed="rId49"/>
                    <a:srcRect b="0" l="0" r="0" t="0"/>
                    <a:stretch>
                      <a:fillRect/>
                    </a:stretch>
                  </pic:blipFill>
                  <pic:spPr>
                    <a:xfrm>
                      <a:off x="0" y="0"/>
                      <a:ext cx="178891" cy="216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possible topological structures allows for parallel computations of the simplicial complex and the persistent Betti numbers.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This algorithmic acceleration drastically slashes the total time complexity down to </w:t>
      </w:r>
      <w:r w:rsidDel="00000000" w:rsidR="00000000" w:rsidRPr="00000000">
        <w:rPr>
          <w:rFonts w:ascii="Google Sans" w:cs="Google Sans" w:eastAsia="Google Sans" w:hAnsi="Google Sans"/>
          <w:color w:val="1f1f1f"/>
        </w:rPr>
        <w:drawing>
          <wp:inline distB="19050" distT="19050" distL="19050" distR="19050">
            <wp:extent cx="473720" cy="227386"/>
            <wp:effectExtent b="0" l="0" r="0" t="0"/>
            <wp:docPr id="52" name="image28.png"/>
            <a:graphic>
              <a:graphicData uri="http://schemas.openxmlformats.org/drawingml/2006/picture">
                <pic:pic>
                  <pic:nvPicPr>
                    <pic:cNvPr id="0" name="image28.png"/>
                    <pic:cNvPicPr preferRelativeResize="0"/>
                  </pic:nvPicPr>
                  <pic:blipFill>
                    <a:blip r:embed="rId50"/>
                    <a:srcRect b="0" l="0" r="0" t="0"/>
                    <a:stretch>
                      <a:fillRect/>
                    </a:stretch>
                  </pic:blipFill>
                  <pic:spPr>
                    <a:xfrm>
                      <a:off x="0" y="0"/>
                      <a:ext cx="473720" cy="2273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This breakthrough makes real-time, high-frequency TDA forecasting not just a theoretical exercise, but a highly viable tool for future quantitative operations requiring instantaneous macro-environment feedback.</w:t>
      </w:r>
      <w:r w:rsidDel="00000000" w:rsidR="00000000" w:rsidRPr="00000000">
        <w:rPr>
          <w:rFonts w:ascii="Google Sans" w:cs="Google Sans" w:eastAsia="Google Sans" w:hAnsi="Google Sans"/>
          <w:color w:val="444746"/>
          <w:sz w:val="24"/>
          <w:szCs w:val="24"/>
          <w:vertAlign w:val="superscript"/>
          <w:rtl w:val="0"/>
        </w:rPr>
        <w:t xml:space="preserve">53</w:t>
      </w:r>
    </w:p>
    <w:p w:rsidR="00000000" w:rsidDel="00000000" w:rsidP="00000000" w:rsidRDefault="00000000" w:rsidRPr="00000000" w14:paraId="0000007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Synergizing Methodologies and Predictive Validity</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visual candlestick charting to these advanced, multidimensional paradigms underscores a fundamental realization in modern quantitative finance: absolute, point-in-time prediction of an asset's price is highly improbable, but structural asymmetry is highly exploitable.</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Fundamental analysis is required to determine the intrinsic value of an asset over the long term, while traditional technical analysis is limited to identifying short-term psychological trends and basic momentum.</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 However, neither pure technicals nor fundamentals can adequately map the hidden, non-linear mechanisms of liquidity clustering, institutional order absorption, and topological network decay.</w:t>
      </w:r>
      <w:r w:rsidDel="00000000" w:rsidR="00000000" w:rsidRPr="00000000">
        <w:rPr>
          <w:rFonts w:ascii="Google Sans" w:cs="Google Sans" w:eastAsia="Google Sans" w:hAnsi="Google Sans"/>
          <w:color w:val="444746"/>
          <w:sz w:val="24"/>
          <w:szCs w:val="24"/>
          <w:vertAlign w:val="superscript"/>
          <w:rtl w:val="0"/>
        </w:rPr>
        <w:t xml:space="preserve">56</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Modern algorithmic strategies must therefore synthesize these experimental layers to establish a holistic predictive model. Time-agnostic price charting (such as Renko and Kagi) strips away temporal noise and irrelevant volatility, allowing algorithms to cleanly target mean-reverting H-volatility thresholds for pairs trading and arbitrage.</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Simultaneously, Order Flow and Footprint charting inject vital, microstructural execution data back into the equation. By mapping the exact limit-order absorption, stacked imbalances, and unfinished auctions occurring at the boundaries of synthetic price levels, algorithms gain unparalleled insight into the real-time intentions of large market participants.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govern the macro-environment of these execution algorithms, Fractal Market Analysis via the Hurst Exponent dynamically dictates whether the prevailing parameters should favor momentum or contrarian execution based on the persistence of the underlying fractal liquidity.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Finally, Topological Data Analysis serves as the ultimate macro fail-safe. By constantly monitoring the multidimensional shape of the market through Betti number persistence, TDA can halt trading systems or aggressively reverse systemic bias when early warning signals in the </w:t>
      </w:r>
      <w:r w:rsidDel="00000000" w:rsidR="00000000" w:rsidRPr="00000000">
        <w:rPr>
          <w:rFonts w:ascii="Google Sans" w:cs="Google Sans" w:eastAsia="Google Sans" w:hAnsi="Google Sans"/>
          <w:color w:val="1f1f1f"/>
        </w:rPr>
        <w:drawing>
          <wp:inline distB="19050" distT="19050" distL="19050" distR="19050">
            <wp:extent cx="199728" cy="228260"/>
            <wp:effectExtent b="0" l="0" r="0" t="0"/>
            <wp:docPr id="54" name="image18.png"/>
            <a:graphic>
              <a:graphicData uri="http://schemas.openxmlformats.org/drawingml/2006/picture">
                <pic:pic>
                  <pic:nvPicPr>
                    <pic:cNvPr id="0" name="image18.png"/>
                    <pic:cNvPicPr preferRelativeResize="0"/>
                  </pic:nvPicPr>
                  <pic:blipFill>
                    <a:blip r:embed="rId46"/>
                    <a:srcRect b="0" l="0" r="0" t="0"/>
                    <a:stretch>
                      <a:fillRect/>
                    </a:stretch>
                  </pic:blipFill>
                  <pic:spPr>
                    <a:xfrm>
                      <a:off x="0" y="0"/>
                      <a:ext cx="199728" cy="228260"/>
                    </a:xfrm>
                    <a:prstGeom prst="rect"/>
                    <a:ln/>
                  </pic:spPr>
                </pic:pic>
              </a:graphicData>
            </a:graphic>
          </wp:inline>
        </w:drawing>
      </w:r>
      <w:r w:rsidDel="00000000" w:rsidR="00000000" w:rsidRPr="00000000">
        <w:rPr>
          <w:rFonts w:ascii="Google Sans" w:cs="Google Sans" w:eastAsia="Google Sans" w:hAnsi="Google Sans"/>
          <w:color w:val="1f1f1f"/>
          <w:rtl w:val="0"/>
        </w:rPr>
        <w:t xml:space="preserve">-norm persistence landscapes indicate an impending, highly correlated topological crash.</w:t>
      </w:r>
      <w:r w:rsidDel="00000000" w:rsidR="00000000" w:rsidRPr="00000000">
        <w:rPr>
          <w:rFonts w:ascii="Google Sans" w:cs="Google Sans" w:eastAsia="Google Sans" w:hAnsi="Google Sans"/>
          <w:color w:val="444746"/>
          <w:sz w:val="24"/>
          <w:szCs w:val="24"/>
          <w:vertAlign w:val="superscript"/>
          <w:rtl w:val="0"/>
        </w:rPr>
        <w:t xml:space="preserve">50</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executing these multi-layered models, mitigating statistical illusions remains paramount. The distraction effect inherent in NLP and LLM sentiment generation </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catastrophic look-ahead bias associated with time-independent synthetic charting execution </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and the chronic overfitting of spatial computer vision models </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all necessitate unyielding, specialized out-of-sample cross-validation protocols.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By strictly isolating training datasets from holdout subsets and ensuring that predictive models map actual market microstructure rather than mathematical artifacts, researchers and quantitative analysts can leverage these alternative morphologies to map the true geometry of financial risk and reward.</w:t>
      </w:r>
    </w:p>
    <w:p w:rsidR="00000000" w:rsidDel="00000000" w:rsidP="00000000" w:rsidRDefault="00000000" w:rsidRPr="00000000" w14:paraId="00000082">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8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Types of Price Charts and Their Histories - Coin Market Manager, accessed March 16, 2026, </w:t>
      </w:r>
      <w:hyperlink r:id="rId51">
        <w:r w:rsidDel="00000000" w:rsidR="00000000" w:rsidRPr="00000000">
          <w:rPr>
            <w:rFonts w:ascii="Google Sans" w:cs="Google Sans" w:eastAsia="Google Sans" w:hAnsi="Google Sans"/>
            <w:color w:val="0000ee"/>
            <w:sz w:val="24"/>
            <w:szCs w:val="24"/>
            <w:u w:val="single"/>
            <w:rtl w:val="0"/>
          </w:rPr>
          <w:t xml:space="preserve">https://coinmarketman.com/blog/types-price-charts-history-trading/</w:t>
        </w:r>
      </w:hyperlink>
      <w:r w:rsidDel="00000000" w:rsidR="00000000" w:rsidRPr="00000000">
        <w:rPr>
          <w:rtl w:val="0"/>
        </w:rPr>
      </w:r>
    </w:p>
    <w:p w:rsidR="00000000" w:rsidDel="00000000" w:rsidP="00000000" w:rsidRDefault="00000000" w:rsidRPr="00000000" w14:paraId="0000008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Candlestick vs. Line Graphs vs. Point and Figure - The Benefits of different Charting Methods - Optimus Futures, accessed March 16, 2026, </w:t>
      </w:r>
      <w:hyperlink r:id="rId52">
        <w:r w:rsidDel="00000000" w:rsidR="00000000" w:rsidRPr="00000000">
          <w:rPr>
            <w:rFonts w:ascii="Google Sans" w:cs="Google Sans" w:eastAsia="Google Sans" w:hAnsi="Google Sans"/>
            <w:color w:val="0000ee"/>
            <w:sz w:val="24"/>
            <w:szCs w:val="24"/>
            <w:u w:val="single"/>
            <w:rtl w:val="0"/>
          </w:rPr>
          <w:t xml:space="preserve">https://optimusfutures.com/blog/candlestick-vs-line-graphs-vs-point-figure-the-benefits-different-charting-methods/</w:t>
        </w:r>
      </w:hyperlink>
      <w:r w:rsidDel="00000000" w:rsidR="00000000" w:rsidRPr="00000000">
        <w:rPr>
          <w:rtl w:val="0"/>
        </w:rPr>
      </w:r>
    </w:p>
    <w:p w:rsidR="00000000" w:rsidDel="00000000" w:rsidP="00000000" w:rsidRDefault="00000000" w:rsidRPr="00000000" w14:paraId="0000008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Flow Trading with Footprint Charts: Master Advanced Market Analysis - LiteFinance, accessed March 16, 2026, </w:t>
      </w:r>
      <w:hyperlink r:id="rId53">
        <w:r w:rsidDel="00000000" w:rsidR="00000000" w:rsidRPr="00000000">
          <w:rPr>
            <w:rFonts w:ascii="Google Sans" w:cs="Google Sans" w:eastAsia="Google Sans" w:hAnsi="Google Sans"/>
            <w:color w:val="0000ee"/>
            <w:sz w:val="24"/>
            <w:szCs w:val="24"/>
            <w:u w:val="single"/>
            <w:rtl w:val="0"/>
          </w:rPr>
          <w:t xml:space="preserve">https://www.litefinance.org/blog/for-beginners/trading-strategies/order-flow-trading-with-footprint-charts/</w:t>
        </w:r>
      </w:hyperlink>
      <w:r w:rsidDel="00000000" w:rsidR="00000000" w:rsidRPr="00000000">
        <w:rPr>
          <w:rtl w:val="0"/>
        </w:rPr>
      </w:r>
    </w:p>
    <w:p w:rsidR="00000000" w:rsidDel="00000000" w:rsidP="00000000" w:rsidRDefault="00000000" w:rsidRPr="00000000" w14:paraId="0000008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10 Types of Price Charts for Trading - Trading Setups Review, accessed March 16, 2026, </w:t>
      </w:r>
      <w:hyperlink r:id="rId54">
        <w:r w:rsidDel="00000000" w:rsidR="00000000" w:rsidRPr="00000000">
          <w:rPr>
            <w:rFonts w:ascii="Google Sans" w:cs="Google Sans" w:eastAsia="Google Sans" w:hAnsi="Google Sans"/>
            <w:color w:val="0000ee"/>
            <w:sz w:val="24"/>
            <w:szCs w:val="24"/>
            <w:u w:val="single"/>
            <w:rtl w:val="0"/>
          </w:rPr>
          <w:t xml:space="preserve">https://www.tradingsetupsreview.com/10-types-of-price-charts-for-trading/</w:t>
        </w:r>
      </w:hyperlink>
      <w:r w:rsidDel="00000000" w:rsidR="00000000" w:rsidRPr="00000000">
        <w:rPr>
          <w:rtl w:val="0"/>
        </w:rPr>
      </w:r>
    </w:p>
    <w:p w:rsidR="00000000" w:rsidDel="00000000" w:rsidP="00000000" w:rsidRDefault="00000000" w:rsidRPr="00000000" w14:paraId="0000008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price dynamics prediction based on multi-scale fractals and deep learning - PMC, accessed March 16, 2026, </w:t>
      </w:r>
      <w:hyperlink r:id="rId55">
        <w:r w:rsidDel="00000000" w:rsidR="00000000" w:rsidRPr="00000000">
          <w:rPr>
            <w:rFonts w:ascii="Google Sans" w:cs="Google Sans" w:eastAsia="Google Sans" w:hAnsi="Google Sans"/>
            <w:color w:val="0000ee"/>
            <w:sz w:val="24"/>
            <w:szCs w:val="24"/>
            <w:u w:val="single"/>
            <w:rtl w:val="0"/>
          </w:rPr>
          <w:t xml:space="preserve">https://pmc.ncbi.nlm.nih.gov/articles/PMC12671762/</w:t>
        </w:r>
      </w:hyperlink>
      <w:r w:rsidDel="00000000" w:rsidR="00000000" w:rsidRPr="00000000">
        <w:rPr>
          <w:rtl w:val="0"/>
        </w:rPr>
      </w:r>
    </w:p>
    <w:p w:rsidR="00000000" w:rsidDel="00000000" w:rsidP="00000000" w:rsidRDefault="00000000" w:rsidRPr="00000000" w14:paraId="0000008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Intraday Renko, Kagi, Line Break and P&amp;F Charts: Tutorial - YouTube, accessed March 16, 2026, </w:t>
      </w:r>
      <w:hyperlink r:id="rId56">
        <w:r w:rsidDel="00000000" w:rsidR="00000000" w:rsidRPr="00000000">
          <w:rPr>
            <w:rFonts w:ascii="Google Sans" w:cs="Google Sans" w:eastAsia="Google Sans" w:hAnsi="Google Sans"/>
            <w:color w:val="0000ee"/>
            <w:sz w:val="24"/>
            <w:szCs w:val="24"/>
            <w:u w:val="single"/>
            <w:rtl w:val="0"/>
          </w:rPr>
          <w:t xml:space="preserve">https://www.youtube.com/watch?v=9q8VCvSgWzU</w:t>
        </w:r>
      </w:hyperlink>
      <w:r w:rsidDel="00000000" w:rsidR="00000000" w:rsidRPr="00000000">
        <w:rPr>
          <w:rtl w:val="0"/>
        </w:rPr>
      </w:r>
    </w:p>
    <w:p w:rsidR="00000000" w:rsidDel="00000000" w:rsidP="00000000" w:rsidRDefault="00000000" w:rsidRPr="00000000" w14:paraId="0000008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Trading Strategy [PDF] | HowToTrade, accessed March 16, 2026, </w:t>
      </w:r>
      <w:hyperlink r:id="rId57">
        <w:r w:rsidDel="00000000" w:rsidR="00000000" w:rsidRPr="00000000">
          <w:rPr>
            <w:rFonts w:ascii="Google Sans" w:cs="Google Sans" w:eastAsia="Google Sans" w:hAnsi="Google Sans"/>
            <w:color w:val="0000ee"/>
            <w:sz w:val="24"/>
            <w:szCs w:val="24"/>
            <w:u w:val="single"/>
            <w:rtl w:val="0"/>
          </w:rPr>
          <w:t xml:space="preserve">https://howtotrade.com/wp-content/uploads/2023/11/Renko-Trading-Strategy.pdf</w:t>
        </w:r>
      </w:hyperlink>
      <w:r w:rsidDel="00000000" w:rsidR="00000000" w:rsidRPr="00000000">
        <w:rPr>
          <w:rtl w:val="0"/>
        </w:rPr>
      </w:r>
    </w:p>
    <w:p w:rsidR="00000000" w:rsidDel="00000000" w:rsidP="00000000" w:rsidRDefault="00000000" w:rsidRPr="00000000" w14:paraId="0000008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Pairs Trading Based on Renko and Kagi Models - Hudson &amp; Thames, accessed March 16, 2026, </w:t>
      </w:r>
      <w:hyperlink r:id="rId58">
        <w:r w:rsidDel="00000000" w:rsidR="00000000" w:rsidRPr="00000000">
          <w:rPr>
            <w:rFonts w:ascii="Google Sans" w:cs="Google Sans" w:eastAsia="Google Sans" w:hAnsi="Google Sans"/>
            <w:color w:val="0000ee"/>
            <w:sz w:val="24"/>
            <w:szCs w:val="24"/>
            <w:u w:val="single"/>
            <w:rtl w:val="0"/>
          </w:rPr>
          <w:t xml:space="preserve">https://hudsonthames.org/pairs-trading-based-on-renko-and-kagi-models/</w:t>
        </w:r>
      </w:hyperlink>
      <w:r w:rsidDel="00000000" w:rsidR="00000000" w:rsidRPr="00000000">
        <w:rPr>
          <w:rtl w:val="0"/>
        </w:rPr>
      </w:r>
    </w:p>
    <w:p w:rsidR="00000000" w:rsidDel="00000000" w:rsidP="00000000" w:rsidRDefault="00000000" w:rsidRPr="00000000" w14:paraId="0000008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Different types of charts, and their use – Heikin Ashi, Renko, Kagi, Point &amp; Figure - WOO X, accessed March 16, 2026, </w:t>
      </w:r>
      <w:hyperlink r:id="rId59">
        <w:r w:rsidDel="00000000" w:rsidR="00000000" w:rsidRPr="00000000">
          <w:rPr>
            <w:rFonts w:ascii="Google Sans" w:cs="Google Sans" w:eastAsia="Google Sans" w:hAnsi="Google Sans"/>
            <w:color w:val="0000ee"/>
            <w:sz w:val="24"/>
            <w:szCs w:val="24"/>
            <w:u w:val="single"/>
            <w:rtl w:val="0"/>
          </w:rPr>
          <w:t xml:space="preserve">https://woox.io/blog/different-types-of-charts-and-their-use-heikin-ashi-renko-kagi-point-figure</w:t>
        </w:r>
      </w:hyperlink>
      <w:r w:rsidDel="00000000" w:rsidR="00000000" w:rsidRPr="00000000">
        <w:rPr>
          <w:rtl w:val="0"/>
        </w:rPr>
      </w:r>
    </w:p>
    <w:p w:rsidR="00000000" w:rsidDel="00000000" w:rsidP="00000000" w:rsidRDefault="00000000" w:rsidRPr="00000000" w14:paraId="0000008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Strategy produces unrealistic results on non-standard chart types (Heikin Ashi, Renko, etc.), accessed March 16, 2026, </w:t>
      </w:r>
      <w:hyperlink r:id="rId60">
        <w:r w:rsidDel="00000000" w:rsidR="00000000" w:rsidRPr="00000000">
          <w:rPr>
            <w:rFonts w:ascii="Google Sans" w:cs="Google Sans" w:eastAsia="Google Sans" w:hAnsi="Google Sans"/>
            <w:color w:val="0000ee"/>
            <w:sz w:val="24"/>
            <w:szCs w:val="24"/>
            <w:u w:val="single"/>
            <w:rtl w:val="0"/>
          </w:rPr>
          <w:t xml:space="preserve">https://www.tradingview.com/support/solutions/43000481029-strategy-produces-unrealistic-results-on-non-standard-chart-types-heikin-ashi-renko-etc/</w:t>
        </w:r>
      </w:hyperlink>
      <w:r w:rsidDel="00000000" w:rsidR="00000000" w:rsidRPr="00000000">
        <w:rPr>
          <w:rtl w:val="0"/>
        </w:rPr>
      </w:r>
    </w:p>
    <w:p w:rsidR="00000000" w:rsidDel="00000000" w:rsidP="00000000" w:rsidRDefault="00000000" w:rsidRPr="00000000" w14:paraId="0000008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Avoid Bias in Backtesting | For Traders, accessed March 16, 2026, </w:t>
      </w:r>
      <w:hyperlink r:id="rId61">
        <w:r w:rsidDel="00000000" w:rsidR="00000000" w:rsidRPr="00000000">
          <w:rPr>
            <w:rFonts w:ascii="Google Sans" w:cs="Google Sans" w:eastAsia="Google Sans" w:hAnsi="Google Sans"/>
            <w:color w:val="0000ee"/>
            <w:sz w:val="24"/>
            <w:szCs w:val="24"/>
            <w:u w:val="single"/>
            <w:rtl w:val="0"/>
          </w:rPr>
          <w:t xml:space="preserve">https://www.fortraders.com/blog/how-to-avoid-bias-in-backtesting</w:t>
        </w:r>
      </w:hyperlink>
      <w:r w:rsidDel="00000000" w:rsidR="00000000" w:rsidRPr="00000000">
        <w:rPr>
          <w:rtl w:val="0"/>
        </w:rPr>
      </w:r>
    </w:p>
    <w:p w:rsidR="00000000" w:rsidDel="00000000" w:rsidP="00000000" w:rsidRDefault="00000000" w:rsidRPr="00000000" w14:paraId="0000008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Let's give some love to the ignored chart types: Does anyone use Renko charts or Point and figure charting to trade and how well are you able to trade? : r/Forex - Reddit, accessed March 16, 2026, </w:t>
      </w:r>
      <w:hyperlink r:id="rId62">
        <w:r w:rsidDel="00000000" w:rsidR="00000000" w:rsidRPr="00000000">
          <w:rPr>
            <w:rFonts w:ascii="Google Sans" w:cs="Google Sans" w:eastAsia="Google Sans" w:hAnsi="Google Sans"/>
            <w:color w:val="0000ee"/>
            <w:sz w:val="24"/>
            <w:szCs w:val="24"/>
            <w:u w:val="single"/>
            <w:rtl w:val="0"/>
          </w:rPr>
          <w:t xml:space="preserve">https://www.reddit.com/r/Forex/comments/8lkt35/lets_give_some_love_to_the_ignored_chart_types/</w:t>
        </w:r>
      </w:hyperlink>
      <w:r w:rsidDel="00000000" w:rsidR="00000000" w:rsidRPr="00000000">
        <w:rPr>
          <w:rtl w:val="0"/>
        </w:rPr>
      </w:r>
    </w:p>
    <w:p w:rsidR="00000000" w:rsidDel="00000000" w:rsidP="00000000" w:rsidRDefault="00000000" w:rsidRPr="00000000" w14:paraId="0000008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#1 RULE FOR BACKTESTING RENKO CHARTS (How I do it) - YouTube, accessed March 16, 2026, </w:t>
      </w:r>
      <w:hyperlink r:id="rId63">
        <w:r w:rsidDel="00000000" w:rsidR="00000000" w:rsidRPr="00000000">
          <w:rPr>
            <w:rFonts w:ascii="Google Sans" w:cs="Google Sans" w:eastAsia="Google Sans" w:hAnsi="Google Sans"/>
            <w:color w:val="0000ee"/>
            <w:sz w:val="24"/>
            <w:szCs w:val="24"/>
            <w:u w:val="single"/>
            <w:rtl w:val="0"/>
          </w:rPr>
          <w:t xml:space="preserve">https://www.youtube.com/watch?v=7Ely25ICW7Y</w:t>
        </w:r>
      </w:hyperlink>
      <w:r w:rsidDel="00000000" w:rsidR="00000000" w:rsidRPr="00000000">
        <w:rPr>
          <w:rtl w:val="0"/>
        </w:rPr>
      </w:r>
    </w:p>
    <w:p w:rsidR="00000000" w:rsidDel="00000000" w:rsidP="00000000" w:rsidRDefault="00000000" w:rsidRPr="00000000" w14:paraId="0000009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Look-Ahead Bias In Backtests And How To Detect It | by Michael Harris | Medium, accessed March 16, 2026, </w:t>
      </w:r>
      <w:hyperlink r:id="rId64">
        <w:r w:rsidDel="00000000" w:rsidR="00000000" w:rsidRPr="00000000">
          <w:rPr>
            <w:rFonts w:ascii="Google Sans" w:cs="Google Sans" w:eastAsia="Google Sans" w:hAnsi="Google Sans"/>
            <w:color w:val="0000ee"/>
            <w:sz w:val="24"/>
            <w:szCs w:val="24"/>
            <w:u w:val="single"/>
            <w:rtl w:val="0"/>
          </w:rPr>
          <w:t xml:space="preserve">https://mikeharrisny.medium.com/look-ahead-bias-in-backtests-and-how-to-detect-it-ad5e42d97879</w:t>
        </w:r>
      </w:hyperlink>
      <w:r w:rsidDel="00000000" w:rsidR="00000000" w:rsidRPr="00000000">
        <w:rPr>
          <w:rtl w:val="0"/>
        </w:rPr>
      </w:r>
    </w:p>
    <w:p w:rsidR="00000000" w:rsidDel="00000000" w:rsidP="00000000" w:rsidRDefault="00000000" w:rsidRPr="00000000" w14:paraId="0000009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Backtesting Series – Episode 2: Cross-Validation techniques – BSIC, accessed March 16, 2026, </w:t>
      </w:r>
      <w:hyperlink r:id="rId65">
        <w:r w:rsidDel="00000000" w:rsidR="00000000" w:rsidRPr="00000000">
          <w:rPr>
            <w:rFonts w:ascii="Google Sans" w:cs="Google Sans" w:eastAsia="Google Sans" w:hAnsi="Google Sans"/>
            <w:color w:val="0000ee"/>
            <w:sz w:val="24"/>
            <w:szCs w:val="24"/>
            <w:u w:val="single"/>
            <w:rtl w:val="0"/>
          </w:rPr>
          <w:t xml:space="preserve">https://bsic.it/backtesting-series-episode-2-cross-validation-techniques/</w:t>
        </w:r>
      </w:hyperlink>
      <w:r w:rsidDel="00000000" w:rsidR="00000000" w:rsidRPr="00000000">
        <w:rPr>
          <w:rtl w:val="0"/>
        </w:rPr>
      </w:r>
    </w:p>
    <w:p w:rsidR="00000000" w:rsidDel="00000000" w:rsidP="00000000" w:rsidRDefault="00000000" w:rsidRPr="00000000" w14:paraId="0000009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Renko Chart Bar Based Backtesting Flattening Issue - Support Board, accessed March 16, 2026, </w:t>
      </w:r>
      <w:hyperlink r:id="rId66">
        <w:r w:rsidDel="00000000" w:rsidR="00000000" w:rsidRPr="00000000">
          <w:rPr>
            <w:rFonts w:ascii="Google Sans" w:cs="Google Sans" w:eastAsia="Google Sans" w:hAnsi="Google Sans"/>
            <w:color w:val="0000ee"/>
            <w:sz w:val="24"/>
            <w:szCs w:val="24"/>
            <w:u w:val="single"/>
            <w:rtl w:val="0"/>
          </w:rPr>
          <w:t xml:space="preserve">https://www.sierrachart.com/SupportBoard.php?ThreadID=89711</w:t>
        </w:r>
      </w:hyperlink>
      <w:r w:rsidDel="00000000" w:rsidR="00000000" w:rsidRPr="00000000">
        <w:rPr>
          <w:rtl w:val="0"/>
        </w:rPr>
      </w:r>
    </w:p>
    <w:p w:rsidR="00000000" w:rsidDel="00000000" w:rsidP="00000000" w:rsidRDefault="00000000" w:rsidRPr="00000000" w14:paraId="0000009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[2309.17322] Assessing Look-Ahead Bias in Stock Return Predictions Generated By GPT Sentiment Analysis - arXiv, accessed March 16, 2026, </w:t>
      </w:r>
      <w:hyperlink r:id="rId67">
        <w:r w:rsidDel="00000000" w:rsidR="00000000" w:rsidRPr="00000000">
          <w:rPr>
            <w:rFonts w:ascii="Google Sans" w:cs="Google Sans" w:eastAsia="Google Sans" w:hAnsi="Google Sans"/>
            <w:color w:val="0000ee"/>
            <w:sz w:val="24"/>
            <w:szCs w:val="24"/>
            <w:u w:val="single"/>
            <w:rtl w:val="0"/>
          </w:rPr>
          <w:t xml:space="preserve">https://arxiv.org/abs/2309.17322</w:t>
        </w:r>
      </w:hyperlink>
      <w:r w:rsidDel="00000000" w:rsidR="00000000" w:rsidRPr="00000000">
        <w:rPr>
          <w:rtl w:val="0"/>
        </w:rPr>
      </w:r>
    </w:p>
    <w:p w:rsidR="00000000" w:rsidDel="00000000" w:rsidP="00000000" w:rsidRDefault="00000000" w:rsidRPr="00000000" w14:paraId="0000009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Stock Chart Pattern recognition with Deep Learning - arXiv.org, accessed March 16, 2026, </w:t>
      </w:r>
      <w:hyperlink r:id="rId68">
        <w:r w:rsidDel="00000000" w:rsidR="00000000" w:rsidRPr="00000000">
          <w:rPr>
            <w:rFonts w:ascii="Google Sans" w:cs="Google Sans" w:eastAsia="Google Sans" w:hAnsi="Google Sans"/>
            <w:color w:val="0000ee"/>
            <w:sz w:val="24"/>
            <w:szCs w:val="24"/>
            <w:u w:val="single"/>
            <w:rtl w:val="0"/>
          </w:rPr>
          <w:t xml:space="preserve">https://arxiv.org/pdf/1808.00418</w:t>
        </w:r>
      </w:hyperlink>
      <w:r w:rsidDel="00000000" w:rsidR="00000000" w:rsidRPr="00000000">
        <w:rPr>
          <w:rtl w:val="0"/>
        </w:rPr>
      </w:r>
    </w:p>
    <w:p w:rsidR="00000000" w:rsidDel="00000000" w:rsidP="00000000" w:rsidRDefault="00000000" w:rsidRPr="00000000" w14:paraId="0000009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Generative-CNN for Pattern Recognition in Finance - ResearchGate, accessed March 16, 2026, </w:t>
      </w:r>
      <w:hyperlink r:id="rId69">
        <w:r w:rsidDel="00000000" w:rsidR="00000000" w:rsidRPr="00000000">
          <w:rPr>
            <w:rFonts w:ascii="Google Sans" w:cs="Google Sans" w:eastAsia="Google Sans" w:hAnsi="Google Sans"/>
            <w:color w:val="0000ee"/>
            <w:sz w:val="24"/>
            <w:szCs w:val="24"/>
            <w:u w:val="single"/>
            <w:rtl w:val="0"/>
          </w:rPr>
          <w:t xml:space="preserve">https://www.researchgate.net/publication/385819957_Generative-CNN_for_Pattern_Recognition_in_Finance</w:t>
        </w:r>
      </w:hyperlink>
      <w:r w:rsidDel="00000000" w:rsidR="00000000" w:rsidRPr="00000000">
        <w:rPr>
          <w:rtl w:val="0"/>
        </w:rPr>
      </w:r>
    </w:p>
    <w:p w:rsidR="00000000" w:rsidDel="00000000" w:rsidP="00000000" w:rsidRDefault="00000000" w:rsidRPr="00000000" w14:paraId="0000009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Investigating Market Strength Prediction with CNNs on Candlestick ..., accessed March 16, 2026, </w:t>
      </w:r>
      <w:hyperlink r:id="rId70">
        <w:r w:rsidDel="00000000" w:rsidR="00000000" w:rsidRPr="00000000">
          <w:rPr>
            <w:rFonts w:ascii="Google Sans" w:cs="Google Sans" w:eastAsia="Google Sans" w:hAnsi="Google Sans"/>
            <w:color w:val="0000ee"/>
            <w:sz w:val="24"/>
            <w:szCs w:val="24"/>
            <w:u w:val="single"/>
            <w:rtl w:val="0"/>
          </w:rPr>
          <w:t xml:space="preserve">https://arxiv.org/abs/2501.12239</w:t>
        </w:r>
      </w:hyperlink>
      <w:r w:rsidDel="00000000" w:rsidR="00000000" w:rsidRPr="00000000">
        <w:rPr>
          <w:rtl w:val="0"/>
        </w:rPr>
      </w:r>
    </w:p>
    <w:p w:rsidR="00000000" w:rsidDel="00000000" w:rsidP="00000000" w:rsidRDefault="00000000" w:rsidRPr="00000000" w14:paraId="0000009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On Suitability of Renko Charts for Algorithmic Trading, accessed March 16, 2026, </w:t>
      </w:r>
      <w:hyperlink r:id="rId71">
        <w:r w:rsidDel="00000000" w:rsidR="00000000" w:rsidRPr="00000000">
          <w:rPr>
            <w:rFonts w:ascii="Google Sans" w:cs="Google Sans" w:eastAsia="Google Sans" w:hAnsi="Google Sans"/>
            <w:color w:val="0000ee"/>
            <w:sz w:val="24"/>
            <w:szCs w:val="24"/>
            <w:u w:val="single"/>
            <w:rtl w:val="0"/>
          </w:rPr>
          <w:t xml:space="preserve">https://www.researchgate.net/publication/389121504_On_Suitability_of_Renko_Charts_for_Algorithmic_Trading</w:t>
        </w:r>
      </w:hyperlink>
      <w:r w:rsidDel="00000000" w:rsidR="00000000" w:rsidRPr="00000000">
        <w:rPr>
          <w:rtl w:val="0"/>
        </w:rPr>
      </w:r>
    </w:p>
    <w:p w:rsidR="00000000" w:rsidDel="00000000" w:rsidP="00000000" w:rsidRDefault="00000000" w:rsidRPr="00000000" w14:paraId="0000009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Navigating the Market: High-Frequency Trading Influence on Order Flow Explained, accessed March 16, 2026, </w:t>
      </w:r>
      <w:hyperlink r:id="rId72">
        <w:r w:rsidDel="00000000" w:rsidR="00000000" w:rsidRPr="00000000">
          <w:rPr>
            <w:rFonts w:ascii="Google Sans" w:cs="Google Sans" w:eastAsia="Google Sans" w:hAnsi="Google Sans"/>
            <w:color w:val="0000ee"/>
            <w:sz w:val="24"/>
            <w:szCs w:val="24"/>
            <w:u w:val="single"/>
            <w:rtl w:val="0"/>
          </w:rPr>
          <w:t xml:space="preserve">https://bookmap.com/blog/navigating-the-market-high-frequency-trading-influence-on-order-flow-explained</w:t>
        </w:r>
      </w:hyperlink>
      <w:r w:rsidDel="00000000" w:rsidR="00000000" w:rsidRPr="00000000">
        <w:rPr>
          <w:rtl w:val="0"/>
        </w:rPr>
      </w:r>
    </w:p>
    <w:p w:rsidR="00000000" w:rsidDel="00000000" w:rsidP="00000000" w:rsidRDefault="00000000" w:rsidRPr="00000000" w14:paraId="0000009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Footprint Charts Work. Footprint Patterns | ATAS, accessed March 16, 2026, </w:t>
      </w:r>
      <w:hyperlink r:id="rId73">
        <w:r w:rsidDel="00000000" w:rsidR="00000000" w:rsidRPr="00000000">
          <w:rPr>
            <w:rFonts w:ascii="Google Sans" w:cs="Google Sans" w:eastAsia="Google Sans" w:hAnsi="Google Sans"/>
            <w:color w:val="0000ee"/>
            <w:sz w:val="24"/>
            <w:szCs w:val="24"/>
            <w:u w:val="single"/>
            <w:rtl w:val="0"/>
          </w:rPr>
          <w:t xml:space="preserve">https://atas.net/blog/how-footprint-charts-work-footprint-modes-and-what-they-are-for/</w:t>
        </w:r>
      </w:hyperlink>
      <w:r w:rsidDel="00000000" w:rsidR="00000000" w:rsidRPr="00000000">
        <w:rPr>
          <w:rtl w:val="0"/>
        </w:rPr>
      </w:r>
    </w:p>
    <w:p w:rsidR="00000000" w:rsidDel="00000000" w:rsidP="00000000" w:rsidRDefault="00000000" w:rsidRPr="00000000" w14:paraId="0000009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Profile Trading Strategies : Understanding its Power and Impact - Bookmap, accessed March 16, 2026, </w:t>
      </w:r>
      <w:hyperlink r:id="rId74">
        <w:r w:rsidDel="00000000" w:rsidR="00000000" w:rsidRPr="00000000">
          <w:rPr>
            <w:rFonts w:ascii="Google Sans" w:cs="Google Sans" w:eastAsia="Google Sans" w:hAnsi="Google Sans"/>
            <w:color w:val="0000ee"/>
            <w:sz w:val="24"/>
            <w:szCs w:val="24"/>
            <w:u w:val="single"/>
            <w:rtl w:val="0"/>
          </w:rPr>
          <w:t xml:space="preserve">https://bookmap.com/blog/market-profile-trading-understanding-its-power-and-impact</w:t>
        </w:r>
      </w:hyperlink>
      <w:r w:rsidDel="00000000" w:rsidR="00000000" w:rsidRPr="00000000">
        <w:rPr>
          <w:rtl w:val="0"/>
        </w:rPr>
      </w:r>
    </w:p>
    <w:p w:rsidR="00000000" w:rsidDel="00000000" w:rsidP="00000000" w:rsidRDefault="00000000" w:rsidRPr="00000000" w14:paraId="0000009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Only Orderflow Footprint Chart Guide You'll Ever Need [Tutorial] - YouTube, accessed March 16, 2026, </w:t>
      </w:r>
      <w:hyperlink r:id="rId75">
        <w:r w:rsidDel="00000000" w:rsidR="00000000" w:rsidRPr="00000000">
          <w:rPr>
            <w:rFonts w:ascii="Google Sans" w:cs="Google Sans" w:eastAsia="Google Sans" w:hAnsi="Google Sans"/>
            <w:color w:val="0000ee"/>
            <w:sz w:val="24"/>
            <w:szCs w:val="24"/>
            <w:u w:val="single"/>
            <w:rtl w:val="0"/>
          </w:rPr>
          <w:t xml:space="preserve">https://www.youtube.com/watch?v=KObUowoFiK0</w:t>
        </w:r>
      </w:hyperlink>
      <w:r w:rsidDel="00000000" w:rsidR="00000000" w:rsidRPr="00000000">
        <w:rPr>
          <w:rtl w:val="0"/>
        </w:rPr>
      </w:r>
    </w:p>
    <w:p w:rsidR="00000000" w:rsidDel="00000000" w:rsidP="00000000" w:rsidRDefault="00000000" w:rsidRPr="00000000" w14:paraId="0000009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Profile 2 - different profiles and their application - Trader-Dale.com, accessed March 16, 2026, </w:t>
      </w:r>
      <w:hyperlink r:id="rId76">
        <w:r w:rsidDel="00000000" w:rsidR="00000000" w:rsidRPr="00000000">
          <w:rPr>
            <w:rFonts w:ascii="Google Sans" w:cs="Google Sans" w:eastAsia="Google Sans" w:hAnsi="Google Sans"/>
            <w:color w:val="0000ee"/>
            <w:sz w:val="24"/>
            <w:szCs w:val="24"/>
            <w:u w:val="single"/>
            <w:rtl w:val="0"/>
          </w:rPr>
          <w:t xml:space="preserve">https://www.trader-dale.com/market-profile-different-profiles-and-their-application/</w:t>
        </w:r>
      </w:hyperlink>
      <w:r w:rsidDel="00000000" w:rsidR="00000000" w:rsidRPr="00000000">
        <w:rPr>
          <w:rtl w:val="0"/>
        </w:rPr>
      </w:r>
    </w:p>
    <w:p w:rsidR="00000000" w:rsidDel="00000000" w:rsidP="00000000" w:rsidRDefault="00000000" w:rsidRPr="00000000" w14:paraId="0000009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Spotting Market Trends with Volume Profile Trading - Optimus Futures, accessed March 16, 2026, </w:t>
      </w:r>
      <w:hyperlink r:id="rId77">
        <w:r w:rsidDel="00000000" w:rsidR="00000000" w:rsidRPr="00000000">
          <w:rPr>
            <w:rFonts w:ascii="Google Sans" w:cs="Google Sans" w:eastAsia="Google Sans" w:hAnsi="Google Sans"/>
            <w:color w:val="0000ee"/>
            <w:sz w:val="24"/>
            <w:szCs w:val="24"/>
            <w:u w:val="single"/>
            <w:rtl w:val="0"/>
          </w:rPr>
          <w:t xml:space="preserve">https://optimusfutures.com/blog/volume-profile-trading/</w:t>
        </w:r>
      </w:hyperlink>
      <w:r w:rsidDel="00000000" w:rsidR="00000000" w:rsidRPr="00000000">
        <w:rPr>
          <w:rtl w:val="0"/>
        </w:rPr>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the 4 Common Volume Profile Shapes in Futures Trading | NinjaTrader, accessed March 16, 2026, </w:t>
      </w:r>
      <w:hyperlink r:id="rId78">
        <w:r w:rsidDel="00000000" w:rsidR="00000000" w:rsidRPr="00000000">
          <w:rPr>
            <w:rFonts w:ascii="Google Sans" w:cs="Google Sans" w:eastAsia="Google Sans" w:hAnsi="Google Sans"/>
            <w:color w:val="0000ee"/>
            <w:sz w:val="24"/>
            <w:szCs w:val="24"/>
            <w:u w:val="single"/>
            <w:rtl w:val="0"/>
          </w:rPr>
          <w:t xml:space="preserve">https://ninjatrader.com/futures/blogs/trade-futures-understanding-the-4-common-volume-profile-shapes/</w:t>
        </w:r>
      </w:hyperlink>
      <w:r w:rsidDel="00000000" w:rsidR="00000000" w:rsidRPr="00000000">
        <w:rPr>
          <w:rtl w:val="0"/>
        </w:rPr>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B-Shaped and P-Shaped Market Profile: How Deviations From Balance Create Weak Highs and Weak Lows - Bookmap, accessed March 16, 2026, </w:t>
      </w:r>
      <w:hyperlink r:id="rId79">
        <w:r w:rsidDel="00000000" w:rsidR="00000000" w:rsidRPr="00000000">
          <w:rPr>
            <w:rFonts w:ascii="Google Sans" w:cs="Google Sans" w:eastAsia="Google Sans" w:hAnsi="Google Sans"/>
            <w:color w:val="0000ee"/>
            <w:sz w:val="24"/>
            <w:szCs w:val="24"/>
            <w:u w:val="single"/>
            <w:rtl w:val="0"/>
          </w:rPr>
          <w:t xml:space="preserve">https://bookmap.com/blog/b-shaped-and-p-shaped-market-profile-how-deviations-from-balance-create-weak-highs-and-weak-lows</w:t>
        </w:r>
      </w:hyperlink>
      <w:r w:rsidDel="00000000" w:rsidR="00000000" w:rsidRPr="00000000">
        <w:rPr>
          <w:rtl w:val="0"/>
        </w:rPr>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Shapes of Volume Profiles| Free Trading Guides - QuantVue, accessed March 16, 2026, </w:t>
      </w:r>
      <w:hyperlink r:id="rId80">
        <w:r w:rsidDel="00000000" w:rsidR="00000000" w:rsidRPr="00000000">
          <w:rPr>
            <w:rFonts w:ascii="Google Sans" w:cs="Google Sans" w:eastAsia="Google Sans" w:hAnsi="Google Sans"/>
            <w:color w:val="0000ee"/>
            <w:sz w:val="24"/>
            <w:szCs w:val="24"/>
            <w:u w:val="single"/>
            <w:rtl w:val="0"/>
          </w:rPr>
          <w:t xml:space="preserve">https://www.quantvue.io/post/shapes-of-volume-profiles</w:t>
        </w:r>
      </w:hyperlink>
      <w:r w:rsidDel="00000000" w:rsidR="00000000" w:rsidRPr="00000000">
        <w:rPr>
          <w:rtl w:val="0"/>
        </w:rPr>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Footprint Charts vs Volume Profile: Which Trading Tool Wins? - QuantVPS, accessed March 16, 2026, </w:t>
      </w:r>
      <w:hyperlink r:id="rId81">
        <w:r w:rsidDel="00000000" w:rsidR="00000000" w:rsidRPr="00000000">
          <w:rPr>
            <w:rFonts w:ascii="Google Sans" w:cs="Google Sans" w:eastAsia="Google Sans" w:hAnsi="Google Sans"/>
            <w:color w:val="0000ee"/>
            <w:sz w:val="24"/>
            <w:szCs w:val="24"/>
            <w:u w:val="single"/>
            <w:rtl w:val="0"/>
          </w:rPr>
          <w:t xml:space="preserve">https://www.quantvps.com/blog/footprint-charts-vs-volume-profile</w:t>
        </w:r>
      </w:hyperlink>
      <w:r w:rsidDel="00000000" w:rsidR="00000000" w:rsidRPr="00000000">
        <w:rPr>
          <w:rtl w:val="0"/>
        </w:rPr>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Imbalance on footprint chart and support of Rithmic Plug-in Mode. Time for a new update!, accessed March 16, 2026, </w:t>
      </w:r>
      <w:hyperlink r:id="rId82">
        <w:r w:rsidDel="00000000" w:rsidR="00000000" w:rsidRPr="00000000">
          <w:rPr>
            <w:rFonts w:ascii="Google Sans" w:cs="Google Sans" w:eastAsia="Google Sans" w:hAnsi="Google Sans"/>
            <w:color w:val="0000ee"/>
            <w:sz w:val="24"/>
            <w:szCs w:val="24"/>
            <w:u w:val="single"/>
            <w:rtl w:val="0"/>
          </w:rPr>
          <w:t xml:space="preserve">https://www.quantower.com/blog/imbalance-footprint-chart-and-rithmic-plugin</w:t>
        </w:r>
      </w:hyperlink>
      <w:r w:rsidDel="00000000" w:rsidR="00000000" w:rsidRPr="00000000">
        <w:rPr>
          <w:rtl w:val="0"/>
        </w:rPr>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Stacked Imbalances In The Order Flow How To Trade Them With Orderflows Trader - YouTube, accessed March 16, 2026, </w:t>
      </w:r>
      <w:hyperlink r:id="rId83">
        <w:r w:rsidDel="00000000" w:rsidR="00000000" w:rsidRPr="00000000">
          <w:rPr>
            <w:rFonts w:ascii="Google Sans" w:cs="Google Sans" w:eastAsia="Google Sans" w:hAnsi="Google Sans"/>
            <w:color w:val="0000ee"/>
            <w:sz w:val="24"/>
            <w:szCs w:val="24"/>
            <w:u w:val="single"/>
            <w:rtl w:val="0"/>
          </w:rPr>
          <w:t xml:space="preserve">https://www.youtube.com/watch?v=BZ8WXrft-y0</w:t>
        </w:r>
      </w:hyperlink>
      <w:r w:rsidDel="00000000" w:rsidR="00000000" w:rsidRPr="00000000">
        <w:rPr>
          <w:rtl w:val="0"/>
        </w:rPr>
      </w:r>
    </w:p>
    <w:p w:rsidR="00000000" w:rsidDel="00000000" w:rsidP="00000000" w:rsidRDefault="00000000" w:rsidRPr="00000000" w14:paraId="000000A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Visualizing Market Order Flow The Footprint Chart Advantage - TRADEPRO Academy, accessed March 16, 2026, </w:t>
      </w:r>
      <w:hyperlink r:id="rId84">
        <w:r w:rsidDel="00000000" w:rsidR="00000000" w:rsidRPr="00000000">
          <w:rPr>
            <w:rFonts w:ascii="Google Sans" w:cs="Google Sans" w:eastAsia="Google Sans" w:hAnsi="Google Sans"/>
            <w:color w:val="0000ee"/>
            <w:sz w:val="24"/>
            <w:szCs w:val="24"/>
            <w:u w:val="single"/>
            <w:rtl w:val="0"/>
          </w:rPr>
          <w:t xml:space="preserve">https://tradeproacademy.com/visualizing-market-order-flow-the-footprint-chart-advantage/</w:t>
        </w:r>
      </w:hyperlink>
      <w:r w:rsidDel="00000000" w:rsidR="00000000" w:rsidRPr="00000000">
        <w:rPr>
          <w:rtl w:val="0"/>
        </w:rPr>
      </w:r>
    </w:p>
    <w:p w:rsidR="00000000" w:rsidDel="00000000" w:rsidP="00000000" w:rsidRDefault="00000000" w:rsidRPr="00000000" w14:paraId="000000A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Order flow imbalance : r/FuturesTrading - Reddit, accessed March 16, 2026, </w:t>
      </w:r>
      <w:hyperlink r:id="rId85">
        <w:r w:rsidDel="00000000" w:rsidR="00000000" w:rsidRPr="00000000">
          <w:rPr>
            <w:rFonts w:ascii="Google Sans" w:cs="Google Sans" w:eastAsia="Google Sans" w:hAnsi="Google Sans"/>
            <w:color w:val="0000ee"/>
            <w:sz w:val="24"/>
            <w:szCs w:val="24"/>
            <w:u w:val="single"/>
            <w:rtl w:val="0"/>
          </w:rPr>
          <w:t xml:space="preserve">https://www.reddit.com/r/FuturesTrading/comments/1f0doob/order_flow_imbalance/</w:t>
        </w:r>
      </w:hyperlink>
      <w:r w:rsidDel="00000000" w:rsidR="00000000" w:rsidRPr="00000000">
        <w:rPr>
          <w:rtl w:val="0"/>
        </w:rPr>
      </w:r>
    </w:p>
    <w:p w:rsidR="00000000" w:rsidDel="00000000" w:rsidP="00000000" w:rsidRDefault="00000000" w:rsidRPr="00000000" w14:paraId="000000A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FootPrint Orderflow - Unfinished Business - YouTube, accessed March 16, 2026, </w:t>
      </w:r>
      <w:hyperlink r:id="rId86">
        <w:r w:rsidDel="00000000" w:rsidR="00000000" w:rsidRPr="00000000">
          <w:rPr>
            <w:rFonts w:ascii="Google Sans" w:cs="Google Sans" w:eastAsia="Google Sans" w:hAnsi="Google Sans"/>
            <w:color w:val="0000ee"/>
            <w:sz w:val="24"/>
            <w:szCs w:val="24"/>
            <w:u w:val="single"/>
            <w:rtl w:val="0"/>
          </w:rPr>
          <w:t xml:space="preserve">https://www.youtube.com/watch?v=-Y1qkz9TwvY</w:t>
        </w:r>
      </w:hyperlink>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Rescaled Range(R/S) analysis of the stock market returns - Sewanee DSpace, accessed March 16, 2026, </w:t>
      </w:r>
      <w:hyperlink r:id="rId87">
        <w:r w:rsidDel="00000000" w:rsidR="00000000" w:rsidRPr="00000000">
          <w:rPr>
            <w:rFonts w:ascii="Google Sans" w:cs="Google Sans" w:eastAsia="Google Sans" w:hAnsi="Google Sans"/>
            <w:color w:val="0000ee"/>
            <w:sz w:val="24"/>
            <w:szCs w:val="24"/>
            <w:u w:val="single"/>
            <w:rtl w:val="0"/>
          </w:rPr>
          <w:t xml:space="preserve">https://dspace.sewanee.edu/bitstreams/b3b0166e-d045-4897-b079-022da3e9f23c/download</w:t>
        </w:r>
      </w:hyperlink>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Detecting trends and mean reversion with the Hurst exponent | Macrosynergy, accessed March 16, 2026, </w:t>
      </w:r>
      <w:hyperlink r:id="rId88">
        <w:r w:rsidDel="00000000" w:rsidR="00000000" w:rsidRPr="00000000">
          <w:rPr>
            <w:rFonts w:ascii="Google Sans" w:cs="Google Sans" w:eastAsia="Google Sans" w:hAnsi="Google Sans"/>
            <w:color w:val="0000ee"/>
            <w:sz w:val="24"/>
            <w:szCs w:val="24"/>
            <w:u w:val="single"/>
            <w:rtl w:val="0"/>
          </w:rPr>
          <w:t xml:space="preserve">https://macrosynergy.com/research/detecting-trends-and-mean-reversion-with-the-hurst-exponent/</w:t>
        </w:r>
      </w:hyperlink>
      <w:r w:rsidDel="00000000" w:rsidR="00000000" w:rsidRPr="00000000">
        <w:rPr>
          <w:rtl w:val="0"/>
        </w:rPr>
      </w:r>
    </w:p>
    <w:p w:rsidR="00000000" w:rsidDel="00000000" w:rsidP="00000000" w:rsidRDefault="00000000" w:rsidRPr="00000000" w14:paraId="000000A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On Hurst exponent estimation under heavy-tailed distributions - IDEAS/RePEc, accessed March 16, 2026, </w:t>
      </w:r>
      <w:hyperlink r:id="rId89">
        <w:r w:rsidDel="00000000" w:rsidR="00000000" w:rsidRPr="00000000">
          <w:rPr>
            <w:rFonts w:ascii="Google Sans" w:cs="Google Sans" w:eastAsia="Google Sans" w:hAnsi="Google Sans"/>
            <w:color w:val="0000ee"/>
            <w:sz w:val="24"/>
            <w:szCs w:val="24"/>
            <w:u w:val="single"/>
            <w:rtl w:val="0"/>
          </w:rPr>
          <w:t xml:space="preserve">https://ideas.repec.org/a/eee/phsmap/v389y2010i18p3844-3855.html</w:t>
        </w:r>
      </w:hyperlink>
      <w:r w:rsidDel="00000000" w:rsidR="00000000" w:rsidRPr="00000000">
        <w:rPr>
          <w:rtl w:val="0"/>
        </w:rPr>
      </w:r>
    </w:p>
    <w:p w:rsidR="00000000" w:rsidDel="00000000" w:rsidP="00000000" w:rsidRDefault="00000000" w:rsidRPr="00000000" w14:paraId="000000A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 Analysis of Time Series and Distribution Properties of Hurst Exponent, accessed March 16, 2026, </w:t>
      </w:r>
      <w:hyperlink r:id="rId90">
        <w:r w:rsidDel="00000000" w:rsidR="00000000" w:rsidRPr="00000000">
          <w:rPr>
            <w:rFonts w:ascii="Google Sans" w:cs="Google Sans" w:eastAsia="Google Sans" w:hAnsi="Google Sans"/>
            <w:color w:val="0000ee"/>
            <w:sz w:val="24"/>
            <w:szCs w:val="24"/>
            <w:u w:val="single"/>
            <w:rtl w:val="0"/>
          </w:rPr>
          <w:t xml:space="preserve">https://msme.us/2011-1-2.pdf</w:t>
        </w:r>
      </w:hyperlink>
      <w:r w:rsidDel="00000000" w:rsidR="00000000" w:rsidRPr="00000000">
        <w:rPr>
          <w:rtl w:val="0"/>
        </w:rPr>
      </w:r>
    </w:p>
    <w:p w:rsidR="00000000" w:rsidDel="00000000" w:rsidP="00000000" w:rsidRDefault="00000000" w:rsidRPr="00000000" w14:paraId="000000A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HURST EXPONENT AND FINANCIAL MARKET PREDICTABILITY, accessed March 16, 2026, </w:t>
      </w:r>
      <w:hyperlink r:id="rId91">
        <w:r w:rsidDel="00000000" w:rsidR="00000000" w:rsidRPr="00000000">
          <w:rPr>
            <w:rFonts w:ascii="Google Sans" w:cs="Google Sans" w:eastAsia="Google Sans" w:hAnsi="Google Sans"/>
            <w:color w:val="0000ee"/>
            <w:sz w:val="24"/>
            <w:szCs w:val="24"/>
            <w:u w:val="single"/>
            <w:rtl w:val="0"/>
          </w:rPr>
          <w:t xml:space="preserve">https://c.mql5.com/forextsd/forum/170/hurst_exponent_and_financial_market_predictability.pdf</w:t>
        </w:r>
      </w:hyperlink>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Fractal Markets Hypothesis and the Global Financial Crisis: Scaling,Investment Horizons and Liquidity - ResearchGate, accessed March 16, 2026, </w:t>
      </w:r>
      <w:hyperlink r:id="rId92">
        <w:r w:rsidDel="00000000" w:rsidR="00000000" w:rsidRPr="00000000">
          <w:rPr>
            <w:rFonts w:ascii="Google Sans" w:cs="Google Sans" w:eastAsia="Google Sans" w:hAnsi="Google Sans"/>
            <w:color w:val="0000ee"/>
            <w:sz w:val="24"/>
            <w:szCs w:val="24"/>
            <w:u w:val="single"/>
            <w:rtl w:val="0"/>
          </w:rPr>
          <w:t xml:space="preserve">https://www.researchgate.net/publication/221901525_Fractal_Markets_Hypothesis_and_the_Global_Financial_Crisis_ScalingInvestment_Horizons_and_Liquidity</w:t>
        </w:r>
      </w:hyperlink>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Fractal Markets Hypothesis and the Global Financial Crisis: Wavelet ..., accessed March 16, 2026, </w:t>
      </w:r>
      <w:hyperlink r:id="rId93">
        <w:r w:rsidDel="00000000" w:rsidR="00000000" w:rsidRPr="00000000">
          <w:rPr>
            <w:rFonts w:ascii="Google Sans" w:cs="Google Sans" w:eastAsia="Google Sans" w:hAnsi="Google Sans"/>
            <w:color w:val="0000ee"/>
            <w:sz w:val="24"/>
            <w:szCs w:val="24"/>
            <w:u w:val="single"/>
            <w:rtl w:val="0"/>
          </w:rPr>
          <w:t xml:space="preserve">https://pmc.ncbi.nlm.nih.gov/articles/PMC3790199/</w:t>
        </w:r>
      </w:hyperlink>
      <w:r w:rsidDel="00000000" w:rsidR="00000000" w:rsidRPr="00000000">
        <w:rPr>
          <w:rtl w:val="0"/>
        </w:rPr>
      </w:r>
    </w:p>
    <w:p w:rsidR="00000000" w:rsidDel="00000000" w:rsidP="00000000" w:rsidRDefault="00000000" w:rsidRPr="00000000" w14:paraId="000000A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Hurst Exponent: Measuring Market Predictability and Trend Strength - Morpher, accessed March 16, 2026, </w:t>
      </w:r>
      <w:hyperlink r:id="rId94">
        <w:r w:rsidDel="00000000" w:rsidR="00000000" w:rsidRPr="00000000">
          <w:rPr>
            <w:rFonts w:ascii="Google Sans" w:cs="Google Sans" w:eastAsia="Google Sans" w:hAnsi="Google Sans"/>
            <w:color w:val="0000ee"/>
            <w:sz w:val="24"/>
            <w:szCs w:val="24"/>
            <w:u w:val="single"/>
            <w:rtl w:val="0"/>
          </w:rPr>
          <w:t xml:space="preserve">https://www.morpher.com/blog/hurst-exponent-in-trading</w:t>
        </w:r>
      </w:hyperlink>
      <w:r w:rsidDel="00000000" w:rsidR="00000000" w:rsidRPr="00000000">
        <w:rPr>
          <w:rtl w:val="0"/>
        </w:rPr>
      </w:r>
    </w:p>
    <w:p w:rsidR="00000000" w:rsidDel="00000000" w:rsidP="00000000" w:rsidRDefault="00000000" w:rsidRPr="00000000" w14:paraId="000000A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Hurst Exponent - Rules, Settings, Strategy, Returns - QuantifiedStrategies.com, accessed March 16, 2026, </w:t>
      </w:r>
      <w:hyperlink r:id="rId95">
        <w:r w:rsidDel="00000000" w:rsidR="00000000" w:rsidRPr="00000000">
          <w:rPr>
            <w:rFonts w:ascii="Google Sans" w:cs="Google Sans" w:eastAsia="Google Sans" w:hAnsi="Google Sans"/>
            <w:color w:val="0000ee"/>
            <w:sz w:val="24"/>
            <w:szCs w:val="24"/>
            <w:u w:val="single"/>
            <w:rtl w:val="0"/>
          </w:rPr>
          <w:t xml:space="preserve">https://www.quantifiedstrategies.com/hurst-exponent/</w:t>
        </w:r>
      </w:hyperlink>
      <w:r w:rsidDel="00000000" w:rsidR="00000000" w:rsidRPr="00000000">
        <w:rPr>
          <w:rtl w:val="0"/>
        </w:rPr>
      </w:r>
    </w:p>
    <w:p w:rsidR="00000000" w:rsidDel="00000000" w:rsidP="00000000" w:rsidRDefault="00000000" w:rsidRPr="00000000" w14:paraId="000000B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2008 financial crisis on the efficiency and contagion of Asian stock markets: A Hurst exponent approach - IDEAS/RePEc, accessed March 16, 2026, </w:t>
      </w:r>
      <w:hyperlink r:id="rId96">
        <w:r w:rsidDel="00000000" w:rsidR="00000000" w:rsidRPr="00000000">
          <w:rPr>
            <w:rFonts w:ascii="Google Sans" w:cs="Google Sans" w:eastAsia="Google Sans" w:hAnsi="Google Sans"/>
            <w:color w:val="0000ee"/>
            <w:sz w:val="24"/>
            <w:szCs w:val="24"/>
            <w:u w:val="single"/>
            <w:rtl w:val="0"/>
          </w:rPr>
          <w:t xml:space="preserve">https://ideas.repec.org/a/eee/finlet/v17y2016icp167-175.html</w:t>
        </w:r>
      </w:hyperlink>
      <w:r w:rsidDel="00000000" w:rsidR="00000000" w:rsidRPr="00000000">
        <w:rPr>
          <w:rtl w:val="0"/>
        </w:rPr>
      </w:r>
    </w:p>
    <w:p w:rsidR="00000000" w:rsidDel="00000000" w:rsidP="00000000" w:rsidRDefault="00000000" w:rsidRPr="00000000" w14:paraId="000000B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Fractal Market Hypothesis: Applications to Financial Forecasting - Arrow@TU Dublin, accessed March 16, 2026, </w:t>
      </w:r>
      <w:hyperlink r:id="rId97">
        <w:r w:rsidDel="00000000" w:rsidR="00000000" w:rsidRPr="00000000">
          <w:rPr>
            <w:rFonts w:ascii="Google Sans" w:cs="Google Sans" w:eastAsia="Google Sans" w:hAnsi="Google Sans"/>
            <w:color w:val="0000ee"/>
            <w:sz w:val="24"/>
            <w:szCs w:val="24"/>
            <w:u w:val="single"/>
            <w:rtl w:val="0"/>
          </w:rPr>
          <w:t xml:space="preserve">https://arrow.tudublin.ie/cgi/viewcontent.cgi?article=1010&amp;context=engschelebk</w:t>
        </w:r>
      </w:hyperlink>
      <w:r w:rsidDel="00000000" w:rsidR="00000000" w:rsidRPr="00000000">
        <w:rPr>
          <w:rtl w:val="0"/>
        </w:rPr>
      </w:r>
    </w:p>
    <w:p w:rsidR="00000000" w:rsidDel="00000000" w:rsidP="00000000" w:rsidRDefault="00000000" w:rsidRPr="00000000" w14:paraId="000000B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Forecasting Stock Market Trends of S&amp;P 500 based on Fractal Theory and Polynomial Regression Model | Highlights in Science, Engineering and Technology, accessed March 16, 2026, </w:t>
      </w:r>
      <w:hyperlink r:id="rId98">
        <w:r w:rsidDel="00000000" w:rsidR="00000000" w:rsidRPr="00000000">
          <w:rPr>
            <w:rFonts w:ascii="Google Sans" w:cs="Google Sans" w:eastAsia="Google Sans" w:hAnsi="Google Sans"/>
            <w:color w:val="0000ee"/>
            <w:sz w:val="24"/>
            <w:szCs w:val="24"/>
            <w:u w:val="single"/>
            <w:rtl w:val="0"/>
          </w:rPr>
          <w:t xml:space="preserve">https://drpress.org/ojs/index.php/HSET/article/view/19242</w:t>
        </w:r>
      </w:hyperlink>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impact of the 2008 and 2010 financial crises on the Hurst exponents of international stock markets: Implications for efficiency and contagion - Economics and Finance Research, accessed March 16, 2026, </w:t>
      </w:r>
      <w:hyperlink r:id="rId99">
        <w:r w:rsidDel="00000000" w:rsidR="00000000" w:rsidRPr="00000000">
          <w:rPr>
            <w:rFonts w:ascii="Google Sans" w:cs="Google Sans" w:eastAsia="Google Sans" w:hAnsi="Google Sans"/>
            <w:color w:val="0000ee"/>
            <w:sz w:val="24"/>
            <w:szCs w:val="24"/>
            <w:u w:val="single"/>
            <w:rtl w:val="0"/>
          </w:rPr>
          <w:t xml:space="preserve">https://ideas.repec.org/a/eee/finana/v35y2014icp140-153.html</w:t>
        </w:r>
      </w:hyperlink>
      <w:r w:rsidDel="00000000" w:rsidR="00000000" w:rsidRPr="00000000">
        <w:rPr>
          <w:rtl w:val="0"/>
        </w:rPr>
      </w:r>
    </w:p>
    <w:p w:rsidR="00000000" w:rsidDel="00000000" w:rsidP="00000000" w:rsidRDefault="00000000" w:rsidRPr="00000000" w14:paraId="000000B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Using Topological Data Analysis (TDA) and Persistent ... - Frontiers, accessed March 16, 2026, </w:t>
      </w:r>
      <w:hyperlink r:id="rId100">
        <w:r w:rsidDel="00000000" w:rsidR="00000000" w:rsidRPr="00000000">
          <w:rPr>
            <w:rFonts w:ascii="Google Sans" w:cs="Google Sans" w:eastAsia="Google Sans" w:hAnsi="Google Sans"/>
            <w:color w:val="0000ee"/>
            <w:sz w:val="24"/>
            <w:szCs w:val="24"/>
            <w:u w:val="single"/>
            <w:rtl w:val="0"/>
          </w:rPr>
          <w:t xml:space="preserve">https://www.frontiersin.org/journals/physics/articles/10.3389/fphy.2021.572216/full</w:t>
        </w:r>
      </w:hyperlink>
      <w:r w:rsidDel="00000000" w:rsidR="00000000" w:rsidRPr="00000000">
        <w:rPr>
          <w:rtl w:val="0"/>
        </w:rPr>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Data Analysis in Python: a simple introduction | by Daymler O'Farrill | Medium, accessed March 16, 2026, </w:t>
      </w:r>
      <w:hyperlink r:id="rId101">
        <w:r w:rsidDel="00000000" w:rsidR="00000000" w:rsidRPr="00000000">
          <w:rPr>
            <w:rFonts w:ascii="Google Sans" w:cs="Google Sans" w:eastAsia="Google Sans" w:hAnsi="Google Sans"/>
            <w:color w:val="0000ee"/>
            <w:sz w:val="24"/>
            <w:szCs w:val="24"/>
            <w:u w:val="single"/>
            <w:rtl w:val="0"/>
          </w:rPr>
          <w:t xml:space="preserve">https://medium.com/@daymler.ofarrill/topological-data-analysis-in-python-a-simple-introduction-ff4221defdcb</w:t>
        </w:r>
      </w:hyperlink>
      <w:r w:rsidDel="00000000" w:rsidR="00000000" w:rsidRPr="00000000">
        <w:rPr>
          <w:rtl w:val="0"/>
        </w:rPr>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Identifying Extreme Events in the Stock Market: A Topological Data Analysis - arXiv.org, accessed March 16, 2026, </w:t>
      </w:r>
      <w:hyperlink r:id="rId102">
        <w:r w:rsidDel="00000000" w:rsidR="00000000" w:rsidRPr="00000000">
          <w:rPr>
            <w:rFonts w:ascii="Google Sans" w:cs="Google Sans" w:eastAsia="Google Sans" w:hAnsi="Google Sans"/>
            <w:color w:val="0000ee"/>
            <w:sz w:val="24"/>
            <w:szCs w:val="24"/>
            <w:u w:val="single"/>
            <w:rtl w:val="0"/>
          </w:rPr>
          <w:t xml:space="preserve">https://arxiv.org/html/2405.16052v1</w:t>
        </w:r>
      </w:hyperlink>
      <w:r w:rsidDel="00000000" w:rsidR="00000000" w:rsidRPr="00000000">
        <w:rPr>
          <w:rtl w:val="0"/>
        </w:rPr>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sol4ik/quantum-topological-analysis-of-stock-market-data - GitHub, accessed March 16, 2026, </w:t>
      </w:r>
      <w:hyperlink r:id="rId103">
        <w:r w:rsidDel="00000000" w:rsidR="00000000" w:rsidRPr="00000000">
          <w:rPr>
            <w:rFonts w:ascii="Google Sans" w:cs="Google Sans" w:eastAsia="Google Sans" w:hAnsi="Google Sans"/>
            <w:color w:val="0000ee"/>
            <w:sz w:val="24"/>
            <w:szCs w:val="24"/>
            <w:u w:val="single"/>
            <w:rtl w:val="0"/>
          </w:rPr>
          <w:t xml:space="preserve">https://github.com/sol4ik/quantum-topological-analysis-of-stock-market-data</w:t>
        </w:r>
      </w:hyperlink>
      <w:r w:rsidDel="00000000" w:rsidR="00000000" w:rsidRPr="00000000">
        <w:rPr>
          <w:rtl w:val="0"/>
        </w:rPr>
      </w:r>
    </w:p>
    <w:p w:rsidR="00000000" w:rsidDel="00000000" w:rsidP="00000000" w:rsidRDefault="00000000" w:rsidRPr="00000000" w14:paraId="000000B8">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Change Point Detection in Financial Market Using Topological Data Analysis - MDPI, accessed March 16, 2026, </w:t>
      </w:r>
      <w:hyperlink r:id="rId104">
        <w:r w:rsidDel="00000000" w:rsidR="00000000" w:rsidRPr="00000000">
          <w:rPr>
            <w:rFonts w:ascii="Google Sans" w:cs="Google Sans" w:eastAsia="Google Sans" w:hAnsi="Google Sans"/>
            <w:color w:val="0000ee"/>
            <w:sz w:val="24"/>
            <w:szCs w:val="24"/>
            <w:u w:val="single"/>
            <w:rtl w:val="0"/>
          </w:rPr>
          <w:t xml:space="preserve">https://www.mdpi.com/2079-8954/13/10/875</w:t>
        </w:r>
      </w:hyperlink>
      <w:r w:rsidDel="00000000" w:rsidR="00000000" w:rsidRPr="00000000">
        <w:rPr>
          <w:rtl w:val="0"/>
        </w:rPr>
      </w:r>
    </w:p>
    <w:p w:rsidR="00000000" w:rsidDel="00000000" w:rsidP="00000000" w:rsidRDefault="00000000" w:rsidRPr="00000000" w14:paraId="000000B9">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Topological Data Analysis of Financial Time Series: Landscapes of Crashes - IDEAS/RePEc, accessed March 16, 2026, </w:t>
      </w:r>
      <w:hyperlink r:id="rId105">
        <w:r w:rsidDel="00000000" w:rsidR="00000000" w:rsidRPr="00000000">
          <w:rPr>
            <w:rFonts w:ascii="Google Sans" w:cs="Google Sans" w:eastAsia="Google Sans" w:hAnsi="Google Sans"/>
            <w:color w:val="0000ee"/>
            <w:sz w:val="24"/>
            <w:szCs w:val="24"/>
            <w:u w:val="single"/>
            <w:rtl w:val="0"/>
          </w:rPr>
          <w:t xml:space="preserve">https://ideas.repec.org/p/arx/papers/1703.04385.html</w:t>
        </w:r>
      </w:hyperlink>
      <w:r w:rsidDel="00000000" w:rsidR="00000000" w:rsidRPr="00000000">
        <w:rPr>
          <w:rtl w:val="0"/>
        </w:rPr>
      </w:r>
    </w:p>
    <w:p w:rsidR="00000000" w:rsidDel="00000000" w:rsidP="00000000" w:rsidRDefault="00000000" w:rsidRPr="00000000" w14:paraId="000000BA">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Analysis vs Technical Analysis | Best Trading Strategy Explained - YouTube, accessed March 16, 2026, </w:t>
      </w:r>
      <w:hyperlink r:id="rId106">
        <w:r w:rsidDel="00000000" w:rsidR="00000000" w:rsidRPr="00000000">
          <w:rPr>
            <w:rFonts w:ascii="Google Sans" w:cs="Google Sans" w:eastAsia="Google Sans" w:hAnsi="Google Sans"/>
            <w:color w:val="0000ee"/>
            <w:sz w:val="24"/>
            <w:szCs w:val="24"/>
            <w:u w:val="single"/>
            <w:rtl w:val="0"/>
          </w:rPr>
          <w:t xml:space="preserve">https://www.youtube.com/watch?v=cvk1gr3C2U8</w:t>
        </w:r>
      </w:hyperlink>
      <w:r w:rsidDel="00000000" w:rsidR="00000000" w:rsidRPr="00000000">
        <w:rPr>
          <w:rtl w:val="0"/>
        </w:rPr>
      </w:r>
    </w:p>
    <w:p w:rsidR="00000000" w:rsidDel="00000000" w:rsidP="00000000" w:rsidRDefault="00000000" w:rsidRPr="00000000" w14:paraId="000000BB">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Which one is better, Fundamental or Technical analysis? : r/Trading - Reddit, accessed March 16, 2026, </w:t>
      </w:r>
      <w:hyperlink r:id="rId107">
        <w:r w:rsidDel="00000000" w:rsidR="00000000" w:rsidRPr="00000000">
          <w:rPr>
            <w:rFonts w:ascii="Google Sans" w:cs="Google Sans" w:eastAsia="Google Sans" w:hAnsi="Google Sans"/>
            <w:color w:val="0000ee"/>
            <w:sz w:val="24"/>
            <w:szCs w:val="24"/>
            <w:u w:val="single"/>
            <w:rtl w:val="0"/>
          </w:rPr>
          <w:t xml:space="preserve">https://www.reddit.com/r/Trading/comments/1rg13qz/which_one_is_better_fundamental_or_technical/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10.png"/><Relationship Id="rId42" Type="http://schemas.openxmlformats.org/officeDocument/2006/relationships/image" Target="media/image26.png"/><Relationship Id="rId41" Type="http://schemas.openxmlformats.org/officeDocument/2006/relationships/image" Target="media/image3.png"/><Relationship Id="rId44" Type="http://schemas.openxmlformats.org/officeDocument/2006/relationships/image" Target="media/image12.png"/><Relationship Id="rId43" Type="http://schemas.openxmlformats.org/officeDocument/2006/relationships/image" Target="media/image7.png"/><Relationship Id="rId46" Type="http://schemas.openxmlformats.org/officeDocument/2006/relationships/image" Target="media/image18.png"/><Relationship Id="rId45" Type="http://schemas.openxmlformats.org/officeDocument/2006/relationships/image" Target="media/image1.png"/><Relationship Id="rId107" Type="http://schemas.openxmlformats.org/officeDocument/2006/relationships/hyperlink" Target="https://www.reddit.com/r/Trading/comments/1rg13qz/which_one_is_better_fundamental_or_technical/" TargetMode="External"/><Relationship Id="rId106" Type="http://schemas.openxmlformats.org/officeDocument/2006/relationships/hyperlink" Target="https://www.youtube.com/watch?v=cvk1gr3C2U8" TargetMode="External"/><Relationship Id="rId105" Type="http://schemas.openxmlformats.org/officeDocument/2006/relationships/hyperlink" Target="https://ideas.repec.org/p/arx/papers/1703.04385.html" TargetMode="External"/><Relationship Id="rId104" Type="http://schemas.openxmlformats.org/officeDocument/2006/relationships/hyperlink" Target="https://www.mdpi.com/2079-8954/13/10/875" TargetMode="External"/><Relationship Id="rId48" Type="http://schemas.openxmlformats.org/officeDocument/2006/relationships/image" Target="media/image23.png"/><Relationship Id="rId47" Type="http://schemas.openxmlformats.org/officeDocument/2006/relationships/image" Target="media/image41.png"/><Relationship Id="rId49" Type="http://schemas.openxmlformats.org/officeDocument/2006/relationships/image" Target="media/image42.png"/><Relationship Id="rId103" Type="http://schemas.openxmlformats.org/officeDocument/2006/relationships/hyperlink" Target="https://github.com/sol4ik/quantum-topological-analysis-of-stock-market-data" TargetMode="External"/><Relationship Id="rId102" Type="http://schemas.openxmlformats.org/officeDocument/2006/relationships/hyperlink" Target="https://arxiv.org/html/2405.16052v1" TargetMode="External"/><Relationship Id="rId101" Type="http://schemas.openxmlformats.org/officeDocument/2006/relationships/hyperlink" Target="https://medium.com/@daymler.ofarrill/topological-data-analysis-in-python-a-simple-introduction-ff4221defdcb" TargetMode="External"/><Relationship Id="rId100" Type="http://schemas.openxmlformats.org/officeDocument/2006/relationships/hyperlink" Target="https://www.frontiersin.org/journals/physics/articles/10.3389/fphy.2021.572216/full" TargetMode="External"/><Relationship Id="rId31" Type="http://schemas.openxmlformats.org/officeDocument/2006/relationships/image" Target="media/image38.png"/><Relationship Id="rId30" Type="http://schemas.openxmlformats.org/officeDocument/2006/relationships/image" Target="media/image39.png"/><Relationship Id="rId33" Type="http://schemas.openxmlformats.org/officeDocument/2006/relationships/image" Target="media/image44.png"/><Relationship Id="rId32" Type="http://schemas.openxmlformats.org/officeDocument/2006/relationships/image" Target="media/image4.png"/><Relationship Id="rId35" Type="http://schemas.openxmlformats.org/officeDocument/2006/relationships/image" Target="media/image2.png"/><Relationship Id="rId34" Type="http://schemas.openxmlformats.org/officeDocument/2006/relationships/image" Target="media/image31.png"/><Relationship Id="rId37" Type="http://schemas.openxmlformats.org/officeDocument/2006/relationships/image" Target="media/image8.png"/><Relationship Id="rId36" Type="http://schemas.openxmlformats.org/officeDocument/2006/relationships/image" Target="media/image6.png"/><Relationship Id="rId39" Type="http://schemas.openxmlformats.org/officeDocument/2006/relationships/image" Target="media/image5.png"/><Relationship Id="rId38" Type="http://schemas.openxmlformats.org/officeDocument/2006/relationships/image" Target="media/image9.png"/><Relationship Id="rId20" Type="http://schemas.openxmlformats.org/officeDocument/2006/relationships/image" Target="media/image16.png"/><Relationship Id="rId22" Type="http://schemas.openxmlformats.org/officeDocument/2006/relationships/image" Target="media/image29.png"/><Relationship Id="rId21" Type="http://schemas.openxmlformats.org/officeDocument/2006/relationships/image" Target="media/image30.png"/><Relationship Id="rId24" Type="http://schemas.openxmlformats.org/officeDocument/2006/relationships/image" Target="media/image32.png"/><Relationship Id="rId23" Type="http://schemas.openxmlformats.org/officeDocument/2006/relationships/image" Target="media/image45.png"/><Relationship Id="rId26" Type="http://schemas.openxmlformats.org/officeDocument/2006/relationships/image" Target="media/image14.png"/><Relationship Id="rId25" Type="http://schemas.openxmlformats.org/officeDocument/2006/relationships/image" Target="media/image43.png"/><Relationship Id="rId28" Type="http://schemas.openxmlformats.org/officeDocument/2006/relationships/image" Target="media/image35.png"/><Relationship Id="rId27" Type="http://schemas.openxmlformats.org/officeDocument/2006/relationships/image" Target="media/image11.png"/><Relationship Id="rId29" Type="http://schemas.openxmlformats.org/officeDocument/2006/relationships/image" Target="media/image36.png"/><Relationship Id="rId95" Type="http://schemas.openxmlformats.org/officeDocument/2006/relationships/hyperlink" Target="https://www.quantifiedstrategies.com/hurst-exponent/" TargetMode="External"/><Relationship Id="rId94" Type="http://schemas.openxmlformats.org/officeDocument/2006/relationships/hyperlink" Target="https://www.morpher.com/blog/hurst-exponent-in-trading" TargetMode="External"/><Relationship Id="rId97" Type="http://schemas.openxmlformats.org/officeDocument/2006/relationships/hyperlink" Target="https://arrow.tudublin.ie/cgi/viewcontent.cgi?article=1010&amp;context=engschelebk" TargetMode="External"/><Relationship Id="rId96" Type="http://schemas.openxmlformats.org/officeDocument/2006/relationships/hyperlink" Target="https://ideas.repec.org/a/eee/finlet/v17y2016icp167-175.html" TargetMode="External"/><Relationship Id="rId11" Type="http://schemas.openxmlformats.org/officeDocument/2006/relationships/image" Target="media/image34.png"/><Relationship Id="rId99" Type="http://schemas.openxmlformats.org/officeDocument/2006/relationships/hyperlink" Target="https://ideas.repec.org/a/eee/finana/v35y2014icp140-153.html" TargetMode="External"/><Relationship Id="rId10" Type="http://schemas.openxmlformats.org/officeDocument/2006/relationships/image" Target="media/image24.png"/><Relationship Id="rId98" Type="http://schemas.openxmlformats.org/officeDocument/2006/relationships/hyperlink" Target="https://drpress.org/ojs/index.php/HSET/article/view/19242" TargetMode="External"/><Relationship Id="rId13" Type="http://schemas.openxmlformats.org/officeDocument/2006/relationships/image" Target="media/image37.png"/><Relationship Id="rId12" Type="http://schemas.openxmlformats.org/officeDocument/2006/relationships/image" Target="media/image17.png"/><Relationship Id="rId91" Type="http://schemas.openxmlformats.org/officeDocument/2006/relationships/hyperlink" Target="https://c.mql5.com/forextsd/forum/170/hurst_exponent_and_financial_market_predictability.pdf" TargetMode="External"/><Relationship Id="rId90" Type="http://schemas.openxmlformats.org/officeDocument/2006/relationships/hyperlink" Target="https://msme.us/2011-1-2.pdf" TargetMode="External"/><Relationship Id="rId93" Type="http://schemas.openxmlformats.org/officeDocument/2006/relationships/hyperlink" Target="https://pmc.ncbi.nlm.nih.gov/articles/PMC3790199/" TargetMode="External"/><Relationship Id="rId92" Type="http://schemas.openxmlformats.org/officeDocument/2006/relationships/hyperlink" Target="https://www.researchgate.net/publication/221901525_Fractal_Markets_Hypothesis_and_the_Global_Financial_Crisis_ScalingInvestment_Horizons_and_Liquidity" TargetMode="External"/><Relationship Id="rId15" Type="http://schemas.openxmlformats.org/officeDocument/2006/relationships/image" Target="media/image27.png"/><Relationship Id="rId14" Type="http://schemas.openxmlformats.org/officeDocument/2006/relationships/image" Target="media/image19.png"/><Relationship Id="rId17" Type="http://schemas.openxmlformats.org/officeDocument/2006/relationships/image" Target="media/image22.png"/><Relationship Id="rId16" Type="http://schemas.openxmlformats.org/officeDocument/2006/relationships/image" Target="media/image20.png"/><Relationship Id="rId19" Type="http://schemas.openxmlformats.org/officeDocument/2006/relationships/image" Target="media/image40.png"/><Relationship Id="rId18" Type="http://schemas.openxmlformats.org/officeDocument/2006/relationships/image" Target="media/image33.png"/><Relationship Id="rId84" Type="http://schemas.openxmlformats.org/officeDocument/2006/relationships/hyperlink" Target="https://tradeproacademy.com/visualizing-market-order-flow-the-footprint-chart-advantage/" TargetMode="External"/><Relationship Id="rId83" Type="http://schemas.openxmlformats.org/officeDocument/2006/relationships/hyperlink" Target="https://www.youtube.com/watch?v=BZ8WXrft-y0" TargetMode="External"/><Relationship Id="rId86" Type="http://schemas.openxmlformats.org/officeDocument/2006/relationships/hyperlink" Target="https://www.youtube.com/watch?v=-Y1qkz9TwvY" TargetMode="External"/><Relationship Id="rId85" Type="http://schemas.openxmlformats.org/officeDocument/2006/relationships/hyperlink" Target="https://www.reddit.com/r/FuturesTrading/comments/1f0doob/order_flow_imbalance/" TargetMode="External"/><Relationship Id="rId88" Type="http://schemas.openxmlformats.org/officeDocument/2006/relationships/hyperlink" Target="https://macrosynergy.com/research/detecting-trends-and-mean-reversion-with-the-hurst-exponent/" TargetMode="External"/><Relationship Id="rId87" Type="http://schemas.openxmlformats.org/officeDocument/2006/relationships/hyperlink" Target="https://dspace.sewanee.edu/bitstreams/b3b0166e-d045-4897-b079-022da3e9f23c/download" TargetMode="External"/><Relationship Id="rId89" Type="http://schemas.openxmlformats.org/officeDocument/2006/relationships/hyperlink" Target="https://ideas.repec.org/a/eee/phsmap/v389y2010i18p3844-3855.html" TargetMode="External"/><Relationship Id="rId80" Type="http://schemas.openxmlformats.org/officeDocument/2006/relationships/hyperlink" Target="https://www.quantvue.io/post/shapes-of-volume-profiles" TargetMode="External"/><Relationship Id="rId82" Type="http://schemas.openxmlformats.org/officeDocument/2006/relationships/hyperlink" Target="https://www.quantower.com/blog/imbalance-footprint-chart-and-rithmic-plugin" TargetMode="External"/><Relationship Id="rId81" Type="http://schemas.openxmlformats.org/officeDocument/2006/relationships/hyperlink" Target="https://www.quantvps.com/blog/footprint-charts-vs-volume-profi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1.png"/><Relationship Id="rId5" Type="http://schemas.openxmlformats.org/officeDocument/2006/relationships/styles" Target="styles.xml"/><Relationship Id="rId6" Type="http://schemas.openxmlformats.org/officeDocument/2006/relationships/image" Target="media/image15.png"/><Relationship Id="rId7" Type="http://schemas.openxmlformats.org/officeDocument/2006/relationships/image" Target="media/image13.png"/><Relationship Id="rId8" Type="http://schemas.openxmlformats.org/officeDocument/2006/relationships/image" Target="media/image25.png"/><Relationship Id="rId73" Type="http://schemas.openxmlformats.org/officeDocument/2006/relationships/hyperlink" Target="https://atas.net/blog/how-footprint-charts-work-footprint-modes-and-what-they-are-for/" TargetMode="External"/><Relationship Id="rId72" Type="http://schemas.openxmlformats.org/officeDocument/2006/relationships/hyperlink" Target="https://bookmap.com/blog/navigating-the-market-high-frequency-trading-influence-on-order-flow-explained" TargetMode="External"/><Relationship Id="rId75" Type="http://schemas.openxmlformats.org/officeDocument/2006/relationships/hyperlink" Target="https://www.youtube.com/watch?v=KObUowoFiK0" TargetMode="External"/><Relationship Id="rId74" Type="http://schemas.openxmlformats.org/officeDocument/2006/relationships/hyperlink" Target="https://bookmap.com/blog/market-profile-trading-understanding-its-power-and-impact" TargetMode="External"/><Relationship Id="rId77" Type="http://schemas.openxmlformats.org/officeDocument/2006/relationships/hyperlink" Target="https://optimusfutures.com/blog/volume-profile-trading/" TargetMode="External"/><Relationship Id="rId76" Type="http://schemas.openxmlformats.org/officeDocument/2006/relationships/hyperlink" Target="https://www.trader-dale.com/market-profile-different-profiles-and-their-application/" TargetMode="External"/><Relationship Id="rId79" Type="http://schemas.openxmlformats.org/officeDocument/2006/relationships/hyperlink" Target="https://bookmap.com/blog/b-shaped-and-p-shaped-market-profile-how-deviations-from-balance-create-weak-highs-and-weak-lows" TargetMode="External"/><Relationship Id="rId78" Type="http://schemas.openxmlformats.org/officeDocument/2006/relationships/hyperlink" Target="https://ninjatrader.com/futures/blogs/trade-futures-understanding-the-4-common-volume-profile-shapes/" TargetMode="External"/><Relationship Id="rId71" Type="http://schemas.openxmlformats.org/officeDocument/2006/relationships/hyperlink" Target="https://www.researchgate.net/publication/389121504_On_Suitability_of_Renko_Charts_for_Algorithmic_Trading" TargetMode="External"/><Relationship Id="rId70" Type="http://schemas.openxmlformats.org/officeDocument/2006/relationships/hyperlink" Target="https://arxiv.org/abs/2501.12239" TargetMode="External"/><Relationship Id="rId62" Type="http://schemas.openxmlformats.org/officeDocument/2006/relationships/hyperlink" Target="https://www.reddit.com/r/Forex/comments/8lkt35/lets_give_some_love_to_the_ignored_chart_types/" TargetMode="External"/><Relationship Id="rId61" Type="http://schemas.openxmlformats.org/officeDocument/2006/relationships/hyperlink" Target="https://www.fortraders.com/blog/how-to-avoid-bias-in-backtesting" TargetMode="External"/><Relationship Id="rId64" Type="http://schemas.openxmlformats.org/officeDocument/2006/relationships/hyperlink" Target="https://mikeharrisny.medium.com/look-ahead-bias-in-backtests-and-how-to-detect-it-ad5e42d97879" TargetMode="External"/><Relationship Id="rId63" Type="http://schemas.openxmlformats.org/officeDocument/2006/relationships/hyperlink" Target="https://www.youtube.com/watch?v=7Ely25ICW7Y" TargetMode="External"/><Relationship Id="rId66" Type="http://schemas.openxmlformats.org/officeDocument/2006/relationships/hyperlink" Target="https://www.sierrachart.com/SupportBoard.php?ThreadID=89711" TargetMode="External"/><Relationship Id="rId65" Type="http://schemas.openxmlformats.org/officeDocument/2006/relationships/hyperlink" Target="https://bsic.it/backtesting-series-episode-2-cross-validation-techniques/" TargetMode="External"/><Relationship Id="rId68" Type="http://schemas.openxmlformats.org/officeDocument/2006/relationships/hyperlink" Target="https://arxiv.org/pdf/1808.00418" TargetMode="External"/><Relationship Id="rId67" Type="http://schemas.openxmlformats.org/officeDocument/2006/relationships/hyperlink" Target="https://arxiv.org/abs/2309.17322" TargetMode="External"/><Relationship Id="rId60" Type="http://schemas.openxmlformats.org/officeDocument/2006/relationships/hyperlink" Target="https://www.tradingview.com/support/solutions/43000481029-strategy-produces-unrealistic-results-on-non-standard-chart-types-heikin-ashi-renko-etc/" TargetMode="External"/><Relationship Id="rId69" Type="http://schemas.openxmlformats.org/officeDocument/2006/relationships/hyperlink" Target="https://www.researchgate.net/publication/385819957_Generative-CNN_for_Pattern_Recognition_in_Finance" TargetMode="External"/><Relationship Id="rId51" Type="http://schemas.openxmlformats.org/officeDocument/2006/relationships/hyperlink" Target="https://coinmarketman.com/blog/types-price-charts-history-trading/" TargetMode="External"/><Relationship Id="rId50" Type="http://schemas.openxmlformats.org/officeDocument/2006/relationships/image" Target="media/image28.png"/><Relationship Id="rId53" Type="http://schemas.openxmlformats.org/officeDocument/2006/relationships/hyperlink" Target="https://www.litefinance.org/blog/for-beginners/trading-strategies/order-flow-trading-with-footprint-charts/" TargetMode="External"/><Relationship Id="rId52" Type="http://schemas.openxmlformats.org/officeDocument/2006/relationships/hyperlink" Target="https://optimusfutures.com/blog/candlestick-vs-line-graphs-vs-point-figure-the-benefits-different-charting-methods/" TargetMode="External"/><Relationship Id="rId55" Type="http://schemas.openxmlformats.org/officeDocument/2006/relationships/hyperlink" Target="https://pmc.ncbi.nlm.nih.gov/articles/PMC12671762/" TargetMode="External"/><Relationship Id="rId54" Type="http://schemas.openxmlformats.org/officeDocument/2006/relationships/hyperlink" Target="https://www.tradingsetupsreview.com/10-types-of-price-charts-for-trading/" TargetMode="External"/><Relationship Id="rId57" Type="http://schemas.openxmlformats.org/officeDocument/2006/relationships/hyperlink" Target="https://howtotrade.com/wp-content/uploads/2023/11/Renko-Trading-Strategy.pdf" TargetMode="External"/><Relationship Id="rId56" Type="http://schemas.openxmlformats.org/officeDocument/2006/relationships/hyperlink" Target="https://www.youtube.com/watch?v=9q8VCvSgWzU" TargetMode="External"/><Relationship Id="rId59" Type="http://schemas.openxmlformats.org/officeDocument/2006/relationships/hyperlink" Target="https://woox.io/blog/different-types-of-charts-and-their-use-heikin-ashi-renko-kagi-point-figure" TargetMode="External"/><Relationship Id="rId58" Type="http://schemas.openxmlformats.org/officeDocument/2006/relationships/hyperlink" Target="https://hudsonthames.org/pairs-trading-based-on-renko-and-kagi-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