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Strategic Roadmap for Autonomous Financial Analogue Prediction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pursuit of alpha in financial markets has historically relied upon the aggregation of discrete, time-bound price data under the theoretical assumption that asset returns follow a Gaussian random walk, rendering them largely memoryless. However, empirical observations of market microstructure, order flow dynamics, and historical crash topologies reveal that financial markets operate as highly complex, non-linear, and non-stationary adaptive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forecasting methodologies and traditional deep learning architectures frequently fail to capture the structural asymmetries within these environments. Such models are chronically susceptible to overfitting, catastrophic temporal data leakage, and the loss of sequential dynamics when abstracting price into rigid matrices.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transcend these prevailing limitations, the definitive vision for this project centers on an autonomous, bifurcated dual-engine framework. The foundational layer, designated as System A, is a quantitative prediction engine that abandons generalized neural network function approximation in favor of historical analogue matching.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Utilizing a K-Nearest Neighbours (KNN) search algorithm operating strictly within a mathematically normalized Euclidean space, System A ingests end-of-day updated financial data to identify the exact historical moments that geometrically mirror the current market state.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high-percentage matches are then utilized to project forward probability distributions.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secondary layer, designated as System B, acts as a multi-agent Large Language Model (LLM) swarm engine. System B is engineered to ingest the quantitative analogues extracted by System A via a strictly defined JSON handshake protocol, applying qualitative macroeconomic reasoning and multi-persona debate to refine and contextualize the trading signals.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peer-level examination of the data pipelines, microstructural feature encoding methodologies, topological distance metric optimizations, probability calibration frameworks, and multi-agent architectural patterns necessary to actualize this vision. By addressing historical architectural failures and defining advanced macro-regime filtration methodologies, the ensuing analysis establishes a rigorous roadmap for transitioning the framework into a live, highly calibrated trading apparatus.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 Data Infrastructure and Feature Engineering Pipeline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validity and geometric stability of any KNN-based analogue matching system are entirely dependent upon the structural integrity of its underlying data pipeline and the specific feature vectors engineered to define the spatial search environment.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Acquisition and Asset Universe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data infrastructure for System A operates on a comprehensive historical database comprising up to 25 years of daily Open, High, Low, Close, and Volume (OHLCV) data, initiated from the year 2000 onward.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extensive lookback period is an absolute prerequisite to ensure the algorithm has a sufficient library of historical "twins" across diverse macroeconomic regimes, including the Dot-com bubble collapse, the 2008 Global Financial Crisis, and the 2020 systemic shocks.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data pipeline retrieves this historical information programmatically utilizing the yfinance library, which allows for robust, automated daily updates without reliance on proprietary API key constraints.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optimize computational overhead during iterative testing and live sweeps, the ingested data is cached locally in CSV format.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robust cross-sectional representation and prevent the model from overfitting to idiosyncratic sector vulnerabilities, the asset universe is explicitly diversified across 52 major United States equities and macroeconomic indices.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pipeline organizes these assets into six primary sectors to facilitate cohort analysis and sector-specific analogue isolation if required.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Tickers within the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SPY, QQQ, AAPL, MSFT, NVDA, AMZN, GOOGL, META, TSLA, AVGO, ORCL, ADBE, CRM, AMD, NFLX, INTC, CSCO, QCOM, TXN, MU, PYPL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JPM, BAC, WFC, GS, MS, V, MA, AXP, BRK-B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LLY, UNH, JNJ, ABBV, MRK, PFE, TMO, ISRG, AMGN, GILD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WMT, COST, PG, KO, PEP, HD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 CAT, BA, GE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XOM, CVX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Pure Price-Action Fingerprint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feature engineering philosophy governing System A represents a deliberate departure from traditional, lagging technical indicator combinations. Instead, the pipeline (prepare.py) utilizes a "pure price-action approach" to construct a highly specific multidimensional "fingerprint" for every trading day.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transformation abstracts raw prices into a 16-feature return vector that captures the exact temporal trajectory and volatility regime leading up to the query date.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this fingerprint is a multi-timeframe return vector, which calculates the trailing percentage changes over eight distinct chronological windows: 1, 3, 7, 14, 30, 45, 60, and 90 days.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allows the algorithm to identify historical analogues that have experienced the exact same short-term shocks and multi-month macro trajectories leading up to the current moment.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critical market regime context and prevent the algorithm from matching structurally identical return profiles occurring in fundamentally different volatility environments, these return vectors are enriched with supplementary features utilizing standard technical libraries.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realized volatility regime is calculated as the rolling standard deviation over 10-day and 30-day windows.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critical derivative of this is the "volatility ratio," calculated by dividing the short-term 10-day volatility by the long-term 30-day volatility.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ratio instantly quantifies whether the current market state is experiencing an acute, short-term volatility expansion or contraction relative to its long-term baseline.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volume profile is parameterized via an abnormal volume metric, calculated as the deviation of the current session's volume from its 20-day rolling mean, normalized by that same mean.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Momentum and absolute range are tracked via a 14-period Relative Strength Index (RSI) and a 14-period Average True Range (ATR).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mean reversion signals are engineered by calculating the percentage distance of the current closing price relative to the 20-day and 50-day Simple Moving Averages (SMA).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 to the generation of the trailing feature vectors, the pipeline engineers forward-looking target variables to evaluate the outcome of the matched analogues. These targets calculate the actual forward returns alongside binary classification targets (e.g., fwd_7d_up) for 1, 3, 7, 14, and 30-day windows immediately following the historical match.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target fwd_7d_up, representing whether the asset's price was higher seven days post-match, has empirically demonstrated the highest evaluation metrics and serves as the primary projection horizon for the engine.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Validation and Look-Ahead Bias Mitigation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vulnerability in time-series machine learning, particularly when exploring pattern matching across highly correlated financial data, is look-ahead bias—the inadvertent utilization of future data during historical simulation.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randomized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 architectures fundamentally destroy the sequential dependency of financial time series. By shuffling chronologically dependent rows, these traditional validation methods mathematically guarantee data leakage, resulting in artificial, unattainable equity curves.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preserve the absolute integrity of the predictive engine, System A enforces a strict, chronological temporal split within the data preparation pipeline.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Partition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Boundary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and Algorithmic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Training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2000-01-01 to 2023-12-31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Serves as the immutable historical analogue library. The KNN index and StandardScaler are fitted exclusively on this partition to prevent forward-leakage of volatility parameters.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Validation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2024-01-01 to 2024-12-31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for out-of-sample parameter tuning, walk-forward performance validation, and probability calibration tracking.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2025-01-01 to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Maintained as a strictly held-out partition for final, uncontaminated performance verification prior to live capital deployment.</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execution, when querying a market state located within the Validation Set, the algorithm is mathematically constrained to search for historical analogues exclusively within the boundaries of the Training 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rigorous data cleaning protocols mandate that any row lacking a complete 90-day trailing history (necessary to compute the longest return vector) or missing the required forward target windows is completely dropped from the dataset.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precise sanitization prevents fatal NaN (Not a Number) poisoning within the distance calculation matrices.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Microstructural Morphology: The Continuous Shape Vector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trailing close-to-close return vectors successfully capture macroeconomic momentum, relying strictly on standardized closing prices leaves the analogue matching engine blind to crucial intra-day market microstructure.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of System A inherently assumes that historical analogues sharing similar geometries will yield similar forward probability distributions.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two historical trading days may both record a +1.5% daily close-to-close return, rendering them mathematically identical in a basic return vector. Market psychology, however, dictates they may be fundamentally disparate: one may represent a methodical, low-volatility institutional accumulation phase (e.g., a Bullish Marubozu), while the exact same percentage return may have been achieved by a violent gap-up followed by massive intraday liquidation and distribution (e.g., a bearish Shooting Star).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entirely ignoring the geometric shape of the trading session, the matching engine aggregates conflicting microstructures into the same neighbourhood, severely smearing the resulting probability distribution.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Candlestick Formations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Japanese candlestick chart, originating in the eighteenth century through the work of rice trader Homma Munehisa, remains the foundational visual morphology for capturing this intra-period conflict.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standard candlestick encodes a dense amount of microstructural market data into a single geometric shape, defined by four fundamental price points: the Open (</w:t>
      </w:r>
      <w:r w:rsidDel="00000000" w:rsidR="00000000" w:rsidRPr="00000000">
        <w:rPr>
          <w:rFonts w:ascii="Google Sans" w:cs="Google Sans" w:eastAsia="Google Sans" w:hAnsi="Google Sans"/>
          <w:color w:val="1f1f1f"/>
        </w:rPr>
        <w:drawing>
          <wp:inline distB="19050" distT="19050" distL="19050" distR="19050">
            <wp:extent cx="229642" cy="229642"/>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9642" cy="2296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High (</w:t>
      </w:r>
      <w:r w:rsidDel="00000000" w:rsidR="00000000" w:rsidRPr="00000000">
        <w:rPr>
          <w:rFonts w:ascii="Google Sans" w:cs="Google Sans" w:eastAsia="Google Sans" w:hAnsi="Google Sans"/>
          <w:color w:val="1f1f1f"/>
        </w:rPr>
        <w:drawing>
          <wp:inline distB="19050" distT="19050" distL="19050" distR="19050">
            <wp:extent cx="245269" cy="226402"/>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45269" cy="226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Low (</w:t>
      </w:r>
      <w:r w:rsidDel="00000000" w:rsidR="00000000" w:rsidRPr="00000000">
        <w:rPr>
          <w:rFonts w:ascii="Google Sans" w:cs="Google Sans" w:eastAsia="Google Sans" w:hAnsi="Google Sans"/>
          <w:color w:val="1f1f1f"/>
        </w:rPr>
        <w:drawing>
          <wp:inline distB="19050" distT="19050" distL="19050" distR="19050">
            <wp:extent cx="215503" cy="224873"/>
            <wp:effectExtent b="0" l="0" r="0" t="0"/>
            <wp:docPr id="1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15503" cy="22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Close (</w:t>
      </w:r>
      <w:r w:rsidDel="00000000" w:rsidR="00000000" w:rsidRPr="00000000">
        <w:rPr>
          <w:rFonts w:ascii="Google Sans" w:cs="Google Sans" w:eastAsia="Google Sans" w:hAnsi="Google Sans"/>
          <w:color w:val="1f1f1f"/>
        </w:rPr>
        <w:drawing>
          <wp:inline distB="19050" distT="19050" distL="19050" distR="19050">
            <wp:extent cx="229195" cy="229195"/>
            <wp:effectExtent b="0" l="0" r="0" t="0"/>
            <wp:docPr id="1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29195" cy="22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simple line charts, candlesticks reveal the dynamics of momentum, indecision, and price rejection driven by the aggregate sentiment of market participants.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numerical values of these components are significantly less informative than their relative proportions.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high total range combined with an exceptionally small real body (the spread between Open and Close) indicates high localized volatility but extreme market equilibrium and indecision (a Doji), as neither buyers nor sellers could secure a directional victory.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 real body that approximates the total daily range indicates absolute, uncontested control by one side of the order book.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of Discrete Categorization and Image Encoding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quantitative research has attempted to integrate these morphological patterns into algorithmic models through discrete categorization or advanced image encoding.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Pattern Recognition Model using Machine Learning (PRML) framework categorizes single-day candlesticks into 13 distinct morphological classes and utilizes an 8-trigram (Bagua) framework to categorize inter-day price movements into 169 possible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discrete categorization effectively dimension-reduces infinite variability for decision-tree algorithms, it triggers a catastrophic mathematical failure in distance-based models like KNN, known as the "Categorical Variable Trap".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Euclidean space, calculating the distance between a Doji (arbitrarily assigned Class 2) and a Bullish Engulfing pattern (Class 1) yields a numeric distance of 1. Calculating the distance between a Doji and a completely unrelated Three Black Crows pattern (Class 12) yields a distance of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numeric calculation imposes a false spatial and ordinal relationship upon nominal categories, irrevocably destroying the integrity of the nearest-neighbour search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attempting to abandon numerical data entirely in favor of computer vision—utilizing Convolutional Neural Networks (CNNs) and the Gramian Angular Field (GAF) to convert time-series data into images—introduces severe symmetry problems and a catastrophic loss of temporal dynamics.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Converting sequential financial data into static two-dimensional image tensors strips the model of its ability to weight the chronological relationships and time-decay between consecutive prints, leading to chronic overfitting and performance plateaus.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of the Continuous Shape Vector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seamlessly integrate intra-day candlestick morphologies into System A without triggering the categorical variable trap or abandoning sequential integers, visual heuristics must be translated into </w:t>
      </w:r>
      <w:r w:rsidDel="00000000" w:rsidR="00000000" w:rsidRPr="00000000">
        <w:rPr>
          <w:rFonts w:ascii="Google Sans" w:cs="Google Sans" w:eastAsia="Google Sans" w:hAnsi="Google Sans"/>
          <w:b w:val="1"/>
          <w:bCs w:val="1"/>
          <w:color w:val="1f1f1f"/>
          <w:rtl w:val="0"/>
        </w:rPr>
        <w:t xml:space="preserve">Continuous Shape Vectors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utilizing the four fundamental OHLC price points, the morphology of the trading period is broken down into continuous proportional scalars. This normalizes the intra-period volatility and entirely eliminates absolute price dependencies, allowing a highly volatile penny stock and a stable mega-cap equity to be compared symmetrically based purely on their microstructural geometry.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Continuous Shape Vector into prepare.py requires the calculation of three primary morphological ratios, natively bounded between -1.0 and +1.0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Body Dominance Ratio (</w:t>
      </w:r>
      <w:r w:rsidDel="00000000" w:rsidR="00000000" w:rsidRPr="00000000">
        <w:rPr>
          <w:rFonts w:ascii="Google Sans" w:cs="Google Sans" w:eastAsia="Google Sans" w:hAnsi="Google Sans"/>
          <w:b w:val="1"/>
          <w:bCs w:val="1"/>
          <w:color w:val="1f1f1f"/>
        </w:rPr>
        <w:drawing>
          <wp:inline distB="19050" distT="19050" distL="19050" distR="19050">
            <wp:extent cx="392311" cy="22964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2311" cy="2296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metric calculates the ratio of the real body to the total intra-day volatility range.</w:t>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A positive value indicates a bullish close, while a negative value indicates a bearish close. The absolute magnitude indicates the dominance of the real body relative to the session's total travel. A value of +1.0 represents a perfect Bullish Marubozu (no wicks), while a value approximating 0.0 represents a Doji.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Upper Rejection Ratio (</w:t>
      </w:r>
      <w:r w:rsidDel="00000000" w:rsidR="00000000" w:rsidRPr="00000000">
        <w:rPr>
          <w:rFonts w:ascii="Google Sans" w:cs="Google Sans" w:eastAsia="Google Sans" w:hAnsi="Google Sans"/>
          <w:b w:val="1"/>
          <w:bCs w:val="1"/>
          <w:color w:val="1f1f1f"/>
        </w:rPr>
        <w:drawing>
          <wp:inline distB="19050" distT="19050" distL="19050" distR="19050">
            <wp:extent cx="475059" cy="228028"/>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059" cy="22802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metric measures the ratio of the upper wick to the total daily range.</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It mathematically captures top-side liquidity sweeps and aggressive seller defense. A high ratio (e.g., &gt; 0.70) quantitatively isolates Shooting Star or Gravestone Doji morphologies without requiring rigid, human-defined if/then threshold rules.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Lower Rejection Ratio (</w:t>
      </w:r>
      <w:r w:rsidDel="00000000" w:rsidR="00000000" w:rsidRPr="00000000">
        <w:rPr>
          <w:rFonts w:ascii="Google Sans" w:cs="Google Sans" w:eastAsia="Google Sans" w:hAnsi="Google Sans"/>
          <w:b w:val="1"/>
          <w:bCs w:val="1"/>
          <w:color w:val="1f1f1f"/>
        </w:rPr>
        <w:drawing>
          <wp:inline distB="19050" distT="19050" distL="19050" distR="19050">
            <wp:extent cx="470744" cy="230568"/>
            <wp:effectExtent b="0" l="0" r="0" t="0"/>
            <wp:docPr id="1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70744" cy="23056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metric measures the ratio of the lower wick to the total daily range.</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Implication:</w:t>
      </w:r>
      <w:r w:rsidDel="00000000" w:rsidR="00000000" w:rsidRPr="00000000">
        <w:rPr>
          <w:rFonts w:ascii="Google Sans" w:cs="Google Sans" w:eastAsia="Google Sans" w:hAnsi="Google Sans"/>
          <w:color w:val="1f1f1f"/>
          <w:rtl w:val="0"/>
        </w:rPr>
        <w:t xml:space="preserve"> It captures bottom-side support sweeps and demand-side absorption. A high value mathematically isolates Hammer and Pin Bar structures, signaling aggressive rejection of lower prices.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fatal pipeline failures, explicit np.where guards must be implemented to handle zero-volatility market days (where the High exactly equals the Low, resulting in a zero denominator). In such locked-limit states, all ratios must default to 0.0 to prevent NaN poisoning within the Pandas dataframe.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System A utilizes a localized StandardScaler refitted iteratively inside the matching loop on the training database, these bounded ratios will normalize flawlessly alongside the trailing return variables.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KNN algorithm executes, the primary distance calculation will remain anchored by the multi-week macro momentum, but the spatial coordinates of the shape vector will fine-tune the final Euclidean neighbourhood. This ensures historical analogues match both the macro trajectory and the exact localized psychological capitulation of the query.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Geometry and Distance Metric Optimization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Saturation and the Geometric Collapse of Cosine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non-parametric machine learning algorithms like K-Nearest Neighbours, the choice of distance metric dictates the absolute geometry of the feature space and is the primary determinant of the model's predictive viability.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historical trajectory of System A's experiment sweeps highlights the necessity of rigorous topological discipline.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iterations of the system (designated as Sweep 1) utilized a 16-feature vector consisting of 8 return features and 8 discrete "regime" features, evaluated using </w:t>
      </w:r>
      <w:r w:rsidDel="00000000" w:rsidR="00000000" w:rsidRPr="00000000">
        <w:rPr>
          <w:rFonts w:ascii="Google Sans" w:cs="Google Sans" w:eastAsia="Google Sans" w:hAnsi="Google Sans"/>
          <w:b w:val="1"/>
          <w:bCs w:val="1"/>
          <w:color w:val="1f1f1f"/>
          <w:rtl w:val="0"/>
        </w:rPr>
        <w:t xml:space="preserve">Cosine Similarity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Cosine similarity measures the angular cosine between two non-zero vectors, entirely ignoring their magnitude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7444"/>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43744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effective in high-dimensional text classification (where word frequencies matter less than word presence), the application of Cosine distance to financial time series resulted in catastrophic topological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Cosine distance ignores absolute scale, a sequence of +0.1% daily returns exhibits high cosine similarity to a sequence of +5.0% daily returns.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Diagnostic runs utilizing diagnose_distances.py revealed that under Cosine distance, the geometry of the feature space entirely collapsed. A staggering 93.3% of all training vectors fell within a tight distance of 0.20 from any given query.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distance filter became mathematically non-binding, effectively turning the KNN algorithm into a random sampler that retrieved 50 arbitrary analogues pointing in vaguely similar directional quadrants.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failure produced an abysmal Brier Skill Score of approximately -0.135, corrupting the forward probability distributions.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Euclidean Transition and Feature Weighting Logic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rescue the spatial architecture, System A pivoted to </w:t>
      </w:r>
      <w:r w:rsidDel="00000000" w:rsidR="00000000" w:rsidRPr="00000000">
        <w:rPr>
          <w:rFonts w:ascii="Google Sans" w:cs="Google Sans" w:eastAsia="Google Sans" w:hAnsi="Google Sans"/>
          <w:b w:val="1"/>
          <w:bCs w:val="1"/>
          <w:color w:val="1f1f1f"/>
          <w:rtl w:val="0"/>
        </w:rPr>
        <w:t xml:space="preserve">Euclidean distance</w:t>
      </w:r>
      <w:r w:rsidDel="00000000" w:rsidR="00000000" w:rsidRPr="00000000">
        <w:rPr>
          <w:rFonts w:ascii="Google Sans" w:cs="Google Sans" w:eastAsia="Google Sans" w:hAnsi="Google Sans"/>
          <w:color w:val="1f1f1f"/>
          <w:rtl w:val="0"/>
        </w:rPr>
        <w:t xml:space="preserve"> (in the generalized Minkowski space), which calculates the straight-line distance between multidimensional points and rigorously punishes magnitude deviations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5294"/>
            <wp:effectExtent b="0" l="0" r="0" t="0"/>
            <wp:docPr id="2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05500" cy="53529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Euclidean distance calculates absolute squared differences, it is exceptionally sensitive to variables of disparate scales.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algorithm evaluates an unscaled feature ranging from 0 to 1 alongside a feature ranging from 0 to 1000, the larger variance will overwhelmingly dominate the Euclidean sum, effectively blinding the model to the smaller feature.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Thus, the strict application of StandardScaler to the feature vectors is an absolute prerequisite for Euclidean clustering.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Following this transition, the 8 discrete regime features were discarded to avoid dimensional distortion, optimizing the engine around an 8-feature return-only configuration.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 all temporal horizons possess equal predictive value. To systematically warp the Euclidean search space around the most predictive market dynamics, System A applies a deterministic feature weighting schema prior to distance calculation. The apply_feature_weights module executes a scalar multiplication on the normalized feature matrix, giving specific data points massive geometric gravity.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Assigned Geometric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ret_7d, ret_14d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Medium-term macro trends are empirically deemed highly predictive for the primary 7-day forward horizon, thus demanding maximum spatial influence.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vol_10d, price_vs_sma20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Contextual indicators representing the immediate volatility regime and acute mean reversion signals are prioritized to ensure analogues share identical localized stress environments.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ret_1d, ret_3d, rsi_14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short-term returns and momentum indicators provide baseline vector anchoring without dominating the Euclidean sum.</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ret_90d, atr_14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 to 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long-term trends possess significantly lower localized predictive value for short-term projections and are subsequently de-emphasized to prevent macro-drag.</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matches represent statistically significant similarities, the system applies a dynamic Euclidean distance ceiling (MAX_DISTANCE). Rather than utilizing an archaic scalar threshold, the limits are dynamically calibrated utilizing quantiles. Current experimental sweeps evaluate Euclidean distances at precise threshold boundaries of 0.897, 1.012, and 1.179.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a critical cohort constraint—EXCLUDE_SAME_TICKER = True—is permanently enforced to prevent an asset from matching against its own immediate trailing history, eradicating short-term autocorrelation from the ensemble.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SAME_SECTOR_ONLY was locked to False, as artificially constraining the search space strictly to intra-sector historical precedents demonstrably degraded the aggregate Brier Skill Score.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computational stability and eliminate critical pipeline failures, the KNN engine architecture addresses platform-specific threading limitations. System documentation notes persistent joblib deadlocks and hard application hangs on Windows/Python 3.12 environments during chunked pairwise Euclidean distance queries.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circumvent this, the pipeline is permanently locked to NN_JOBS = 1, disabling the joblib threading backend entirely.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compensate for the loss of parallel processing, the engine utilizes an aggressive batched query methodology (BATCH_SIZE = 256), pre-transforming validation rows and processing kneighbors() queries in discrete matrices. This architectural optimization yields a massive 10-50x runtime speedup, radically lowering Python overhead and dispatch counts.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Macro-Regime Filtration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standardized Euclidean matching on trailing returns provides an effective baseline, predicting systemic regime shifts requires addressing the foundational theoretical flaws in the Efficient Market Hypothesis (EMH). Traditional financial models rely heavily on Gaussian statistics, assuming that asset returns are memoryless and follow continuous geometric Brownian motion.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frequency of catastrophic, heavy-tailed market crashes demonstrates that financial markets exhibit persistence and bias entirely incompatible with standard normal distributions.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augment System A's capabilities, quantitative research has expanded into advanced morphological frameworks, specifically Fractal Market Analysis (FMA), Topological Data Analysis (TDA), and time-agnostic pricing geometries.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Fractal Market Analysis and the Hurst Exponent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Fractal Market Analysis, pioneered by Benoit Mandelbrot, views market mechanics through the lens of chaos theory and fractional geometry.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FMA asserts that markets maintain a self-similar, fractal structure driven by the continuous interaction of diverse, overlapping investment horizons—ranging from high-frequency scalpers to multi-year institutional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specific investment horizon begins to overwhelmingly dominate, the fractal liquidity structure collapses, precipitating non-linear volatility events.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mechanism for quantifying this structural memory is the </w:t>
      </w:r>
      <w:r w:rsidDel="00000000" w:rsidR="00000000" w:rsidRPr="00000000">
        <w:rPr>
          <w:rFonts w:ascii="Google Sans" w:cs="Google Sans" w:eastAsia="Google Sans" w:hAnsi="Google Sans"/>
          <w:b w:val="1"/>
          <w:bCs w:val="1"/>
          <w:color w:val="1f1f1f"/>
          <w:rtl w:val="0"/>
        </w:rPr>
        <w:t xml:space="preserve">Hurst Exponent (</w:t>
      </w:r>
      <w:r w:rsidDel="00000000" w:rsidR="00000000" w:rsidRPr="00000000">
        <w:rPr>
          <w:rFonts w:ascii="Google Sans" w:cs="Google Sans" w:eastAsia="Google Sans" w:hAnsi="Google Sans"/>
          <w:b w:val="1"/>
          <w:bCs w:val="1"/>
          <w:color w:val="1f1f1f"/>
        </w:rPr>
        <w:drawing>
          <wp:inline distB="19050" distT="19050" distL="19050" distR="19050">
            <wp:extent cx="168175" cy="224234"/>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conventionally estimated using Rescaled Range (R/S) analysis. This measures the rate at which the variance of a log price series expands relative to elapsed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exponent seamlessly categorizes the financial process into three distinct, actionable regimes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Hurst Exponent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Algorithmic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64691" cy="199544"/>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864691" cy="1995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Anti-persistent / Mean-reverting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heavily prone to frequent reversals. Upward momentum is highly likely to be followed by downward correction. Optimal regime for oscillator-based contrarian strategies.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68672" cy="199035"/>
                  <wp:effectExtent b="0" l="0" r="0" t="0"/>
                  <wp:docPr id="2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8672" cy="1990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Walk / Brownian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perfectly random and memoryless. Technical analysis and directional prediction are statistically invalid.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90152" cy="199935"/>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990152" cy="1999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 Trending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exhibits profound long-term memory. Upward trajectories have a high mathematical probability of continuation. Optimal regime for momentum algorithms.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dynamics of the Hurst exponent provide definitive macro-overlays. During the 2008 Global Financial Crisis, analyses of Asian stock market returns revealed a violent transition from varying degrees of randomness to persistent long-term memory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2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structural shift signaled a catastrophic breakdown in market efficiency, driven by the sudden evaporation of long-term investors and the monopolization of liquidity by panic selling.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the Generalized Hurst Exponent (GHE)—which is highly robust to heavy-tailed distributions—into System A's feature vector allows the engine to mathematically distance current queries from incompatible historical fractal regimes.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Data Analysis (TDA)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mathematically rigorous advancement in evaluating multidimensional financial environments is Topological Data Analysis (TDA). Transcending traditional point-to-point price analysis, TDA bridges algebraic topology and non-linear dynamic systems to analyze the fundamental "shape" of market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delay embedding theorems and sliding windows, TDA transposes raw time-series data into a high-dimensional space, analyzing cross-correlations through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simplices.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engine of TDA is </w:t>
      </w:r>
      <w:r w:rsidDel="00000000" w:rsidR="00000000" w:rsidRPr="00000000">
        <w:rPr>
          <w:rFonts w:ascii="Google Sans" w:cs="Google Sans" w:eastAsia="Google Sans" w:hAnsi="Google Sans"/>
          <w:b w:val="1"/>
          <w:bCs w:val="1"/>
          <w:color w:val="1f1f1f"/>
          <w:rtl w:val="0"/>
        </w:rPr>
        <w:t xml:space="preserve">Persistent Homology</w:t>
      </w:r>
      <w:r w:rsidDel="00000000" w:rsidR="00000000" w:rsidRPr="00000000">
        <w:rPr>
          <w:rFonts w:ascii="Google Sans" w:cs="Google Sans" w:eastAsia="Google Sans" w:hAnsi="Google Sans"/>
          <w:color w:val="1f1f1f"/>
          <w:rtl w:val="0"/>
        </w:rPr>
        <w:t xml:space="preserve">. By scanning through a continuum of correlation thresholds (a process known as filtration), TDA monitors the lifespan of topological 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Robust market characteristics persist across wide thresholds, while transient noise is filtered 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structures are quantified through </w:t>
      </w:r>
      <w:r w:rsidDel="00000000" w:rsidR="00000000" w:rsidRPr="00000000">
        <w:rPr>
          <w:rFonts w:ascii="Google Sans" w:cs="Google Sans" w:eastAsia="Google Sans" w:hAnsi="Google Sans"/>
          <w:b w:val="1"/>
          <w:bCs w:val="1"/>
          <w:color w:val="1f1f1f"/>
          <w:rtl w:val="0"/>
        </w:rPr>
        <w:t xml:space="preserve">Betti numbers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1095" cy="229314"/>
            <wp:effectExtent b="0" l="0" r="0" t="0"/>
            <wp:docPr id="2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91095"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measure the connectivity and void space of the underlying data cloud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78147" cy="225028"/>
            <wp:effectExtent b="0" l="0" r="0" t="0"/>
            <wp:docPr id="2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Represents the number of connected components or isolated asset clusters.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78147" cy="225028"/>
            <wp:effectExtent b="0" l="0" r="0" t="0"/>
            <wp:docPr id="2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Represents one-dimensional holes or circular structures within the correlation matrix.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78147" cy="225028"/>
            <wp:effectExtent b="0" l="0" r="0" t="0"/>
            <wp:docPr id="2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Represents two-dimensional voids or cavities bounded by geometric faces.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mapping the persistence of these Betti numbers, TDA isolates exact topological signatures of systemic market crashes. A "Bubble State" exhibits a highly integrated market characterized by a single giant interconnected cluster (low </w:t>
      </w:r>
      <w:r w:rsidDel="00000000" w:rsidR="00000000" w:rsidRPr="00000000">
        <w:rPr>
          <w:rFonts w:ascii="Google Sans" w:cs="Google Sans" w:eastAsia="Google Sans" w:hAnsi="Google Sans"/>
          <w:color w:val="1f1f1f"/>
        </w:rPr>
        <w:drawing>
          <wp:inline distB="19050" distT="19050" distL="19050" distR="19050">
            <wp:extent cx="178147" cy="225028"/>
            <wp:effectExtent b="0" l="0" r="0" t="0"/>
            <wp:docPr id="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highly complex, multidimensional cross-correlations (high </w:t>
      </w:r>
      <w:r w:rsidDel="00000000" w:rsidR="00000000" w:rsidRPr="00000000">
        <w:rPr>
          <w:rFonts w:ascii="Google Sans" w:cs="Google Sans" w:eastAsia="Google Sans" w:hAnsi="Google Sans"/>
          <w:color w:val="1f1f1f"/>
        </w:rPr>
        <w:drawing>
          <wp:inline distB="19050" distT="19050" distL="19050" distR="19050">
            <wp:extent cx="438299" cy="228678"/>
            <wp:effectExtent b="0" l="0" r="0" t="0"/>
            <wp:docPr id="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38299" cy="228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onset of a crisis, the complex "handles" and voids of the market surface break, triggering a rapid drop in </w:t>
      </w:r>
      <w:r w:rsidDel="00000000" w:rsidR="00000000" w:rsidRPr="00000000">
        <w:rPr>
          <w:rFonts w:ascii="Google Sans" w:cs="Google Sans" w:eastAsia="Google Sans" w:hAnsi="Google Sans"/>
          <w:color w:val="1f1f1f"/>
        </w:rPr>
        <w:drawing>
          <wp:inline distB="19050" distT="19050" distL="19050" distR="19050">
            <wp:extent cx="178147" cy="225028"/>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8147" cy="225028"/>
            <wp:effectExtent b="0" l="0" r="0" t="0"/>
            <wp:docPr id="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active crash, the giant cluster shatters violently, causing </w:t>
      </w:r>
      <w:r w:rsidDel="00000000" w:rsidR="00000000" w:rsidRPr="00000000">
        <w:rPr>
          <w:rFonts w:ascii="Google Sans" w:cs="Google Sans" w:eastAsia="Google Sans" w:hAnsi="Google Sans"/>
          <w:color w:val="1f1f1f"/>
        </w:rPr>
        <w:drawing>
          <wp:inline distB="19050" distT="19050" distL="19050" distR="19050">
            <wp:extent cx="178147" cy="225028"/>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78147"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surge as individual asset panic overrides market-wide correlation.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tracking the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-norms of persistence landscapes, experimental TDA models have successfully identified rising geometric stress extending up to 250 trading days prior to an actual price meltdown, providing a predictive macro-failsafe for systemic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Time-Agnostic Morphologies and H-Statistics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combat the chronological dependency that traps standard technical analysis in periods of low liquidity, quantitative systems utilize time-agnostic charts. Frameworks such as </w:t>
      </w:r>
      <w:r w:rsidDel="00000000" w:rsidR="00000000" w:rsidRPr="00000000">
        <w:rPr>
          <w:rFonts w:ascii="Google Sans" w:cs="Google Sans" w:eastAsia="Google Sans" w:hAnsi="Google Sans"/>
          <w:b w:val="1"/>
          <w:bCs w:val="1"/>
          <w:color w:val="1f1f1f"/>
          <w:rtl w:val="0"/>
        </w:rPr>
        <w:t xml:space="preserve">Renko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Kagi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Point &amp; Figure (P&amp;F)</w:t>
      </w:r>
      <w:r w:rsidDel="00000000" w:rsidR="00000000" w:rsidRPr="00000000">
        <w:rPr>
          <w:rFonts w:ascii="Google Sans" w:cs="Google Sans" w:eastAsia="Google Sans" w:hAnsi="Google Sans"/>
          <w:color w:val="1f1f1f"/>
          <w:rtl w:val="0"/>
        </w:rPr>
        <w:t xml:space="preserve"> charts eliminate the temporal dimension entirely, constructing morphological forms driven exclusively by absolute price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Renko charts, for instance, filter out visual noise by drawing diagonal sequences of bricks only when an asset's price advances or declines by a predefined threshold, distilling erratic data into pure trend trajectories.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algorithmic strategy design, specifically pairs trading, these charts are leveraged via </w:t>
      </w:r>
      <w:r w:rsidDel="00000000" w:rsidR="00000000" w:rsidRPr="00000000">
        <w:rPr>
          <w:rFonts w:ascii="Google Sans" w:cs="Google Sans" w:eastAsia="Google Sans" w:hAnsi="Google Sans"/>
          <w:b w:val="1"/>
          <w:bCs w:val="1"/>
          <w:color w:val="1f1f1f"/>
          <w:rtl w:val="0"/>
        </w:rPr>
        <w:t xml:space="preserve">H-construction</w:t>
      </w:r>
      <w:r w:rsidDel="00000000" w:rsidR="00000000" w:rsidRPr="00000000">
        <w:rPr>
          <w:rFonts w:ascii="Google Sans" w:cs="Google Sans" w:eastAsia="Google Sans" w:hAnsi="Google Sans"/>
          <w:color w:val="1f1f1f"/>
          <w:rtl w:val="0"/>
        </w:rPr>
        <w:t xml:space="preserve"> to bypass the strict cointegration assumptions required by the Ornstein-Uhlenbeck (O-U) stochastic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measuring geometric variability independent of time, algorithms compute: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H-inversion:</w:t>
      </w:r>
      <w:r w:rsidDel="00000000" w:rsidR="00000000" w:rsidRPr="00000000">
        <w:rPr>
          <w:rFonts w:ascii="Google Sans" w:cs="Google Sans" w:eastAsia="Google Sans" w:hAnsi="Google Sans"/>
          <w:color w:val="1f1f1f"/>
          <w:rtl w:val="0"/>
        </w:rPr>
        <w:t xml:space="preserve"> The frequency at which the process changes direction, utilized to rank and select heavily mean-reverting pairs.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H-distance:</w:t>
      </w:r>
      <w:r w:rsidDel="00000000" w:rsidR="00000000" w:rsidRPr="00000000">
        <w:rPr>
          <w:rFonts w:ascii="Google Sans" w:cs="Google Sans" w:eastAsia="Google Sans" w:hAnsi="Google Sans"/>
          <w:color w:val="1f1f1f"/>
          <w:rtl w:val="0"/>
        </w:rPr>
        <w:t xml:space="preserve"> The sum of absolute vertical distances between adjacent turning points.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H-volatility:</w:t>
      </w:r>
      <w:r w:rsidDel="00000000" w:rsidR="00000000" w:rsidRPr="00000000">
        <w:rPr>
          <w:rFonts w:ascii="Google Sans" w:cs="Google Sans" w:eastAsia="Google Sans" w:hAnsi="Google Sans"/>
          <w:color w:val="1f1f1f"/>
          <w:rtl w:val="0"/>
        </w:rPr>
        <w:t xml:space="preserve"> The quotient of H-distance divided by H-inversion. This critical metric dynamically dictates execution; if it equals the threshold of a Wiener process (a standard martingale), the market is an unpredictable random walk. Above or below this threshold, the algorithm autonomously switches between momentum or contrarian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applying time-agnostic charts to historical simulation introduces severe systemic risks. Because these charts generate synthetic price levels rather than recording exact market prints at specific timestamps, backtesting on these morphologies often triggers catastrophic </w:t>
      </w:r>
      <w:r w:rsidDel="00000000" w:rsidR="00000000" w:rsidRPr="00000000">
        <w:rPr>
          <w:rFonts w:ascii="Google Sans" w:cs="Google Sans" w:eastAsia="Google Sans" w:hAnsi="Google Sans"/>
          <w:b w:val="1"/>
          <w:bCs w:val="1"/>
          <w:color w:val="1f1f1f"/>
          <w:rtl w:val="0"/>
        </w:rPr>
        <w:t xml:space="preserve">look-ahead bias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Executing a simulated trade at a synthetic brick boundary assumes an execution price that may never have actually existed in the live order book with sufficient liquidity, resulting in artificially smoothed equity curves and unattainable Sharpe ratios.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Probability Calibration and Performance Evaluation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Brier Skill Score Deficit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 A translates historical geometric matches into actionable forecasts through its forward projection mechanism. The algorithm analyzes the outcomes of the 50 nearest historical twins over projection horizons ranging from 1 to 30 days, calculating the probability_up metric.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distance weighting theoretically allows closer matches to dictate the probability distribution (via an inverse scalar of </w:t>
      </w:r>
      <w:r w:rsidDel="00000000" w:rsidR="00000000" w:rsidRPr="00000000">
        <w:rPr>
          <w:rFonts w:ascii="Google Sans" w:cs="Google Sans" w:eastAsia="Google Sans" w:hAnsi="Google Sans"/>
          <w:color w:val="1f1f1f"/>
        </w:rPr>
        <w:drawing>
          <wp:inline distB="19050" distT="19050" distL="19050" distR="19050">
            <wp:extent cx="1681610" cy="218514"/>
            <wp:effectExtent b="0" l="0" r="0" t="0"/>
            <wp:docPr id="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681610" cy="218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rigorous historical evaluation established that "uniform" weighting—where all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matches contribute equally to the ensemble probability—provides superior performance stability.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achieving high binary directional accuracy is mathematically orthogonal to generating well-calibrated probabilities. A model can boast 58% directional accuracy but output disastrously overconfident probability extremes (e.g., predicting 95% certainty when historical evidence supports only 60%).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the paramount evaluation metric governing System A's architecture is the </w:t>
      </w:r>
      <w:r w:rsidDel="00000000" w:rsidR="00000000" w:rsidRPr="00000000">
        <w:rPr>
          <w:rFonts w:ascii="Google Sans" w:cs="Google Sans" w:eastAsia="Google Sans" w:hAnsi="Google Sans"/>
          <w:b w:val="1"/>
          <w:bCs w:val="1"/>
          <w:color w:val="1f1f1f"/>
          <w:rtl w:val="0"/>
        </w:rPr>
        <w:t xml:space="preserve">Brier Skill Score (BSS)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Brier Score (BS) measures the mean squared error between a predicted probability and the actual binary outcome.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perfect forecast scores 0.0, while absolute inaccuracy scores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Brier Skill Score evaluates the extent to which the model improves upon a naive, reference forecast (climatology/base rate)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9"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BSS greater than 0.0 indicates the model possesses genuine predictive skill beyond a naive base rate; a BSS surpassing 0.05 designates the system as materially useful in live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Historically, System A operated with a negative BSS deficit of approximately 0.002, indicating it marginally underperformed the baseline.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by restricting the feature space to the 8-feature return vector and implementing rigorous calibration protocols, the engine recently broke the zero-barrier, achieving a post-calibrated BSS of </w:t>
      </w:r>
      <w:r w:rsidDel="00000000" w:rsidR="00000000" w:rsidRPr="00000000">
        <w:rPr>
          <w:rFonts w:ascii="Google Sans" w:cs="Google Sans" w:eastAsia="Google Sans" w:hAnsi="Google Sans"/>
          <w:b w:val="1"/>
          <w:bCs w:val="1"/>
          <w:color w:val="1f1f1f"/>
          <w:rtl w:val="0"/>
        </w:rPr>
        <w:t xml:space="preserve">+0.00033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Probability Calibration: Platt Scaling vs. Isotonic Regression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map the raw frequency of KNN analogues into statistically reliable probabilities, post-processing calibration is deployed.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System A achieved its positive BSS milestone utilizing </w:t>
      </w:r>
      <w:r w:rsidDel="00000000" w:rsidR="00000000" w:rsidRPr="00000000">
        <w:rPr>
          <w:rFonts w:ascii="Google Sans" w:cs="Google Sans" w:eastAsia="Google Sans" w:hAnsi="Google Sans"/>
          <w:b w:val="1"/>
          <w:bCs w:val="1"/>
          <w:color w:val="1f1f1f"/>
          <w:rtl w:val="0"/>
        </w:rPr>
        <w:t xml:space="preserve">Platt Scaling</w:t>
      </w:r>
      <w:r w:rsidDel="00000000" w:rsidR="00000000" w:rsidRPr="00000000">
        <w:rPr>
          <w:rFonts w:ascii="Google Sans" w:cs="Google Sans" w:eastAsia="Google Sans" w:hAnsi="Google Sans"/>
          <w:color w:val="1f1f1f"/>
          <w:rtl w:val="0"/>
        </w:rPr>
        <w:t xml:space="preserve"> (logistic regression), optimized with a calibration fraction (cal_frac) of 0.76 derived from the validation set.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Platt scaling operates by fitting a parametric sigmoid function to the uncalibrated classifier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method assumes the distortion between uncalibrated scores and true probabilities follows a sigmoid curve, a common artifact in maximum margin methods (like SVMs or boosted trees) which tend to push probability mass away from 0 and 1.</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it is a parametric model, Platt scaling is highly efficient and requires relatively limited data to prevent overfitting.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KNN is fundamentally a non-parametric clustering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probability distributions generated by localized distance matching are frequently complex, highly jagged, and rarely fit a neat sigmoid curve.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these scenarios, Platt scaling can actually degrade the expected calibration error (ECE).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aggressively target the &gt; 0.05 BSS threshold, the architecture dictates transitioning to </w:t>
      </w:r>
      <w:r w:rsidDel="00000000" w:rsidR="00000000" w:rsidRPr="00000000">
        <w:rPr>
          <w:rFonts w:ascii="Google Sans" w:cs="Google Sans" w:eastAsia="Google Sans" w:hAnsi="Google Sans"/>
          <w:b w:val="1"/>
          <w:bCs w:val="1"/>
          <w:color w:val="1f1f1f"/>
          <w:rtl w:val="0"/>
        </w:rPr>
        <w:t xml:space="preserve">Isotonic Regression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Isotonic regression is a non-parametric method that fits a piecewise constant, monotonically increasing function (a step-wise staircase) to the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minimizing log-loss subject to strict monotonic constraints, Isotonic regression can correct any monotonic distortion without being confined to a predetermined functional form.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it is prone to overfitting if sample sizes are small, empirical benchmarks confirm that Isotonic regression consistently delivers superior calibration reliability and lower Brier scores for distance-based classifiers when applied across expansive, multi-year datasets.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Generation and the 47-Test Regression Suite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calibrated probabilities are subsequently passed through a rigorous "Three-Filter Rule" before System A permits the generation of an executable BUY, SELL, or HOLD signal.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logic ensures that capital is only risked when profound geometrical alignment exists: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Minimum Matches (MIN_MATCHES):</w:t>
      </w:r>
      <w:r w:rsidDel="00000000" w:rsidR="00000000" w:rsidRPr="00000000">
        <w:rPr>
          <w:rFonts w:ascii="Google Sans" w:cs="Google Sans" w:eastAsia="Google Sans" w:hAnsi="Google Sans"/>
          <w:color w:val="1f1f1f"/>
          <w:rtl w:val="0"/>
        </w:rPr>
        <w:t xml:space="preserve"> The algorithm must successfully identify at least 10 valid analogues that reside within the Euclidean MAX_DISTANCE threshold.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Confidence Threshold (CONFIDENCE_THRESHOLD):</w:t>
      </w:r>
      <w:r w:rsidDel="00000000" w:rsidR="00000000" w:rsidRPr="00000000">
        <w:rPr>
          <w:rFonts w:ascii="Google Sans" w:cs="Google Sans" w:eastAsia="Google Sans" w:hAnsi="Google Sans"/>
          <w:color w:val="1f1f1f"/>
          <w:rtl w:val="0"/>
        </w:rPr>
        <w:t xml:space="preserve"> At least 55% to 65% of the historical analogues must have achieved a positive outcome.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Agreement Spread (AGREEMENT_SPREAD):</w:t>
      </w:r>
      <w:r w:rsidDel="00000000" w:rsidR="00000000" w:rsidRPr="00000000">
        <w:rPr>
          <w:rFonts w:ascii="Google Sans" w:cs="Google Sans" w:eastAsia="Google Sans" w:hAnsi="Google Sans"/>
          <w:color w:val="1f1f1f"/>
          <w:rtl w:val="0"/>
        </w:rPr>
        <w:t xml:space="preserve"> The final probability must diverge significantly from a neutral distribution, requiring the probability to be at least 10% (0.10) away from the 50/50 mark.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integrity of this highly specific signaling logic is aggressively enforced by a 47-test regression suite located within test_strategy.py.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suite was explicitly designed to remediate a critical architectural vulnerability identified in the codebase as "Bug #7".</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deprecated versions of the engine, the evaluation module (evaluate_predictions) erroneously calculated the accuracy_confident metric using only the probability threshold, entirely ignoring the MIN_MATCHES and AGREEMENT_SPREAD filters that governed the live generate_signal execution logic.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evaluator was drastically less strict than the live system, it calculated performance metrics on a heavily inflated dataset of low-quality matches, resulting in overstated, fundamentally flawed headline statistics.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regression suite permanently eradicates this vulnerability through strict test coverage:</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Metric Exclusion:</w:t>
      </w:r>
      <w:r w:rsidDel="00000000" w:rsidR="00000000" w:rsidRPr="00000000">
        <w:rPr>
          <w:rFonts w:ascii="Google Sans" w:cs="Google Sans" w:eastAsia="Google Sans" w:hAnsi="Google Sans"/>
          <w:color w:val="1f1f1f"/>
          <w:rtl w:val="0"/>
        </w:rPr>
        <w:t xml:space="preserve"> Tests confirm that any query resulting in a HOLD signal is immediately dropped from the denominator of confident performance metrics. Accuracy is derived exclusively from executed BUY and SELL rows.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Stricter Evaluation Alignment:</w:t>
      </w:r>
      <w:r w:rsidDel="00000000" w:rsidR="00000000" w:rsidRPr="00000000">
        <w:rPr>
          <w:rFonts w:ascii="Google Sans" w:cs="Google Sans" w:eastAsia="Google Sans" w:hAnsi="Google Sans"/>
          <w:color w:val="1f1f1f"/>
          <w:rtl w:val="0"/>
        </w:rPr>
        <w:t xml:space="preserve"> A dedicated regression test mathematically verifies that the evaluator reports fewer, higher-quality trades than a naive probability threshold filter, confirming total alignment with the live execution module.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Calibration Bin Integrity:</w:t>
      </w:r>
      <w:r w:rsidDel="00000000" w:rsidR="00000000" w:rsidRPr="00000000">
        <w:rPr>
          <w:rFonts w:ascii="Google Sans" w:cs="Google Sans" w:eastAsia="Google Sans" w:hAnsi="Google Sans"/>
          <w:color w:val="1f1f1f"/>
          <w:rtl w:val="0"/>
        </w:rPr>
        <w:t xml:space="preserve"> Evaluates the compute_calibration bucketing logic to guarantee that probability extremes (exactly 0.0 and 1.0) are flawlessly captured without division errors.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BSS Sanity Bounds:</w:t>
      </w:r>
      <w:r w:rsidDel="00000000" w:rsidR="00000000" w:rsidRPr="00000000">
        <w:rPr>
          <w:rFonts w:ascii="Google Sans" w:cs="Google Sans" w:eastAsia="Google Sans" w:hAnsi="Google Sans"/>
          <w:color w:val="1f1f1f"/>
          <w:rtl w:val="0"/>
        </w:rPr>
        <w:t xml:space="preserve"> Validates that the Brier score perfectly scores random and naive base-rate arrays.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suite monitors the execution of the 6-fold expanding walk-forward validation matrix.</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temporal logic guarantees that validation folds are strictly expanding and non-overlapping. The folds are intentionally engineered to encompass severe historical regime shifts, explicitly forcing the algorithm to predict outcomes through the 2020 COVID-19 volatility shock and the protracted 2022 macroeconomic bear market.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 Multi-Agent Swarm Architecture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System A provides a mathematically calibrated, regime-aware quantitative baseline, financial price discovery is profoundly influenced by qualitative narratives—shifting central bank rhetoric, geopolitical tension, and dynamic retail sentiment. To bridge the paradigm gap between statistical probability and contextual reality, the project architecture introduces </w:t>
      </w:r>
      <w:r w:rsidDel="00000000" w:rsidR="00000000" w:rsidRPr="00000000">
        <w:rPr>
          <w:rFonts w:ascii="Google Sans" w:cs="Google Sans" w:eastAsia="Google Sans" w:hAnsi="Google Sans"/>
          <w:b w:val="1"/>
          <w:bCs w:val="1"/>
          <w:color w:val="1f1f1f"/>
          <w:rtl w:val="0"/>
        </w:rPr>
        <w:t xml:space="preserve">System B</w:t>
      </w:r>
      <w:r w:rsidDel="00000000" w:rsidR="00000000" w:rsidRPr="00000000">
        <w:rPr>
          <w:rFonts w:ascii="Google Sans" w:cs="Google Sans" w:eastAsia="Google Sans" w:hAnsi="Google Sans"/>
          <w:color w:val="1f1f1f"/>
          <w:rtl w:val="0"/>
        </w:rPr>
        <w:t xml:space="preserve">: an LLM-driven Multi-Agent Swarm Engine.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Patterns and Personas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 transitions the project from isolated numerical matching into an autonomous, collaborative AI intelligence framework. Within modern LLM deployment, monolithic "jack-of-all-trades" agents suffer from massive degradation in instruction adherence, task hallucination, and constrained reasoning depth.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System B leverages decentralized multi-agent architectures to disperse cognitive load.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swarm is composed of three distinct, highly specialized personas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Institutional Quant:</w:t>
      </w:r>
      <w:r w:rsidDel="00000000" w:rsidR="00000000" w:rsidRPr="00000000">
        <w:rPr>
          <w:rFonts w:ascii="Google Sans" w:cs="Google Sans" w:eastAsia="Google Sans" w:hAnsi="Google Sans"/>
          <w:color w:val="1f1f1f"/>
          <w:rtl w:val="0"/>
        </w:rPr>
        <w:t xml:space="preserve"> Tasked with evaluating the statistical rigor, variance, and distance metrics of the KNN analogues provided by System A.</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Retail Momentum Agent:</w:t>
      </w:r>
      <w:r w:rsidDel="00000000" w:rsidR="00000000" w:rsidRPr="00000000">
        <w:rPr>
          <w:rFonts w:ascii="Google Sans" w:cs="Google Sans" w:eastAsia="Google Sans" w:hAnsi="Google Sans"/>
          <w:color w:val="1f1f1f"/>
          <w:rtl w:val="0"/>
        </w:rPr>
        <w:t xml:space="preserve"> Tasked with analyzing trend-following dynamics, localized microstructural breakouts, and broader crowd sentiment.</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Macro Economist:</w:t>
      </w:r>
      <w:r w:rsidDel="00000000" w:rsidR="00000000" w:rsidRPr="00000000">
        <w:rPr>
          <w:rFonts w:ascii="Google Sans" w:cs="Google Sans" w:eastAsia="Google Sans" w:hAnsi="Google Sans"/>
          <w:color w:val="1f1f1f"/>
          <w:rtl w:val="0"/>
        </w:rPr>
        <w:t xml:space="preserve"> Tasked with contextualizing the historical analogues against current economic indicators, interest rate environments, and systemic liquidity.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agents collaborate via sophisticated structural patterns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 Pipelines:</w:t>
      </w:r>
      <w:r w:rsidDel="00000000" w:rsidR="00000000" w:rsidRPr="00000000">
        <w:rPr>
          <w:rFonts w:ascii="Google Sans" w:cs="Google Sans" w:eastAsia="Google Sans" w:hAnsi="Google Sans"/>
          <w:color w:val="1f1f1f"/>
          <w:rtl w:val="0"/>
        </w:rPr>
        <w:t xml:space="preserve"> For linear analytical processing, Agent A executes a primary extraction of the statistical data and passes the refined output sequentially to Agent B for context application.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 Agent Mixtures:</w:t>
      </w:r>
      <w:r w:rsidDel="00000000" w:rsidR="00000000" w:rsidRPr="00000000">
        <w:rPr>
          <w:rFonts w:ascii="Google Sans" w:cs="Google Sans" w:eastAsia="Google Sans" w:hAnsi="Google Sans"/>
          <w:color w:val="1f1f1f"/>
          <w:rtl w:val="0"/>
        </w:rPr>
        <w:t xml:space="preserve"> Different agents concurrently analyze distinct dimensions of market risk (e.g., credit risk vs. geopolitical risk) before a synthesizer agent aggregates the conflicting perspectives into a cohesive report.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Hierarchical Decomposition:</w:t>
      </w:r>
      <w:r w:rsidDel="00000000" w:rsidR="00000000" w:rsidRPr="00000000">
        <w:rPr>
          <w:rFonts w:ascii="Google Sans" w:cs="Google Sans" w:eastAsia="Google Sans" w:hAnsi="Google Sans"/>
          <w:color w:val="1f1f1f"/>
          <w:rtl w:val="0"/>
        </w:rPr>
        <w:t xml:space="preserve"> A primary coordinator agent breaks down the overarching trading goal, delegating specific sub-tasks (treated as tool calls) to specialized worker agents, awaiting their outputs to form a final execution hypothesis.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JSON Handshake Protocol and Schema Enforcement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technological bridge unifying the quantitative and qualitative engines is the </w:t>
      </w:r>
      <w:r w:rsidDel="00000000" w:rsidR="00000000" w:rsidRPr="00000000">
        <w:rPr>
          <w:rFonts w:ascii="Google Sans" w:cs="Google Sans" w:eastAsia="Google Sans" w:hAnsi="Google Sans"/>
          <w:b w:val="1"/>
          <w:bCs w:val="1"/>
          <w:color w:val="1f1f1f"/>
          <w:rtl w:val="0"/>
        </w:rPr>
        <w:t xml:space="preserve">JSON Handshake Protocol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strictly formatted payload transmits the outputs of System A—specifically structured as "5 potential moments" (the top historical twins)—directly to the LLM agents for scenario generation.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relying on standard LLM JSON generation introduces extreme fragility into the pipeline.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Unconstrained LLMs frequently alter schema structures, drop critical analytical keys, or append conversational pleasantries that instantly break automated parsing modules.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Relying on static function calling is equally problematic, as financial data arrays contain dynamic, deeply nested arguments that inhibit higher-order function composition.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autonomous stability, the handshake protocol must enforce rigid JSONSchema definitions. This provides a deterministic contract, guaranteeing that System A transmits the analogue dates, Euclidean distances, projection horizons, and calibrated probabilities in an immutable structure.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Prior to live API deployment, the entirety of the prompt sequences and persona debate mechanisms are validated utilizing a localized "Agentcheck" harness, ensuring the swarm logic remains mathematically tethered to the quantitative baselines.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Roadmap to Live Deployment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finalization and deployment of this dual-engine architecture adhere to a stringent, four-phase operational roadmap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1: System A — Calibrated Analogue Matching (Current State)</w:t>
      </w:r>
      <w:r w:rsidDel="00000000" w:rsidR="00000000" w:rsidRPr="00000000">
        <w:rPr>
          <w:rFonts w:ascii="Google Sans" w:cs="Google Sans" w:eastAsia="Google Sans" w:hAnsi="Google Sans"/>
          <w:color w:val="1f1f1f"/>
          <w:rtl w:val="0"/>
        </w:rPr>
        <w:t xml:space="preserve"> The foundational infrastructure is fully operational. The 52-ticker data pipeline, the batched Euclidean ball_tree matching engine, and the 47-test regression suite are actively locking down system stability.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Having successfully broken the zero-barrier with a positive BSS of +0.00033 utilizing Platt scaling, efforts are currently focused on completing the 6-fold walk-forward validation matrix to confirm statistical regime stability across varying macroeconomic conditions.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2: System B — Swarm Engine Integration</w:t>
      </w:r>
      <w:r w:rsidDel="00000000" w:rsidR="00000000" w:rsidRPr="00000000">
        <w:rPr>
          <w:rFonts w:ascii="Google Sans" w:cs="Google Sans" w:eastAsia="Google Sans" w:hAnsi="Google Sans"/>
          <w:color w:val="1f1f1f"/>
          <w:rtl w:val="0"/>
        </w:rPr>
        <w:t xml:space="preserve"> Upon securing a materially useful BSS &gt; 0.05, the pipeline immediately transitions to the integration of System B. This involves finalizing the JSON handshake payload, deploying the Agentcheck harness, and initializing the Institutional, Retail, and Macro personas to execute scenario generation over the "5 potential moments".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3: Out-of-Sample Paper Trading</w:t>
      </w:r>
      <w:r w:rsidDel="00000000" w:rsidR="00000000" w:rsidRPr="00000000">
        <w:rPr>
          <w:rFonts w:ascii="Google Sans" w:cs="Google Sans" w:eastAsia="Google Sans" w:hAnsi="Google Sans"/>
          <w:color w:val="1f1f1f"/>
          <w:rtl w:val="0"/>
        </w:rPr>
        <w:t xml:space="preserve"> With the dual-engine logic synthesized, the architecture transitions to live forward-testing without capital exposure. System execution signals will generate hypothetical Profit and Loss (P&amp;L) ledgers.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Advanced financial performance metrics, prominently the Sharpe Ratio and Maximum Drawdown, will be computed to quantify risk-adjusted returns and validate the swarm's capital protection logic.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4: Live Capital Deployment</w:t>
      </w:r>
      <w:r w:rsidDel="00000000" w:rsidR="00000000" w:rsidRPr="00000000">
        <w:rPr>
          <w:rFonts w:ascii="Google Sans" w:cs="Google Sans" w:eastAsia="Google Sans" w:hAnsi="Google Sans"/>
          <w:color w:val="1f1f1f"/>
          <w:rtl w:val="0"/>
        </w:rPr>
        <w:t xml:space="preserve"> Following a successful paper trading epoch, the system transitions to fully autonomous execution with an initial capital allocation of $2,000.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mitigate black-swan events and catastrophic algorithmic cascading, extreme safety protocols will be hard-coded into the execution framework, including absolute drawdown limits and automated kill switches.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real-time telemetry and execution logs will be piped through automated Telegram alerts, ensuring continuous oversight of the autonomous engine.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Prediction Project Report Synthesis</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Stock Prediction Methods Report</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Stock Prediction with Candlesticks</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prepare.py</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in Financial Trading: A Survey - arXiv.org, accessed March 16, 2026, </w:t>
      </w:r>
      <w:hyperlink r:id="rId31">
        <w:r w:rsidDel="00000000" w:rsidR="00000000" w:rsidRPr="00000000">
          <w:rPr>
            <w:rFonts w:ascii="Google Sans" w:cs="Google Sans" w:eastAsia="Google Sans" w:hAnsi="Google Sans"/>
            <w:color w:val="0000ee"/>
            <w:sz w:val="24"/>
            <w:szCs w:val="24"/>
            <w:u w:val="single"/>
            <w:rtl w:val="0"/>
          </w:rPr>
          <w:t xml:space="preserve">https://arxiv.org/html/2408.06361v2</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multi-agent patterns in ADK, accessed March 16, 2026, </w:t>
      </w:r>
      <w:hyperlink r:id="rId32">
        <w:r w:rsidDel="00000000" w:rsidR="00000000" w:rsidRPr="00000000">
          <w:rPr>
            <w:rFonts w:ascii="Google Sans" w:cs="Google Sans" w:eastAsia="Google Sans" w:hAnsi="Google Sans"/>
            <w:color w:val="0000ee"/>
            <w:sz w:val="24"/>
            <w:szCs w:val="24"/>
            <w:u w:val="single"/>
            <w:rtl w:val="0"/>
          </w:rPr>
          <w:t xml:space="preserve">https://developers.googleblog.com/developers-guide-to-multi-agent-patterns-in-adk/</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Hurst Exponent - Samara Alpha Management, accessed March 16, 2026, </w:t>
      </w:r>
      <w:hyperlink r:id="rId33">
        <w:r w:rsidDel="00000000" w:rsidR="00000000" w:rsidRPr="00000000">
          <w:rPr>
            <w:rFonts w:ascii="Google Sans" w:cs="Google Sans" w:eastAsia="Google Sans" w:hAnsi="Google Sans"/>
            <w:color w:val="0000ee"/>
            <w:sz w:val="24"/>
            <w:szCs w:val="24"/>
            <w:u w:val="single"/>
            <w:rtl w:val="0"/>
          </w:rPr>
          <w:t xml:space="preserve">https://www.samara-am.com/insights/hurst-exponent</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Rolling Hurst Exponent and Fractal Dimension for Informed Trading Strategies, accessed March 16, 2026, </w:t>
      </w:r>
      <w:hyperlink r:id="rId34">
        <w:r w:rsidDel="00000000" w:rsidR="00000000" w:rsidRPr="00000000">
          <w:rPr>
            <w:rFonts w:ascii="Google Sans" w:cs="Google Sans" w:eastAsia="Google Sans" w:hAnsi="Google Sans"/>
            <w:color w:val="0000ee"/>
            <w:sz w:val="24"/>
            <w:szCs w:val="24"/>
            <w:u w:val="single"/>
            <w:rtl w:val="0"/>
          </w:rPr>
          <w:t xml:space="preserve">https://www.vortexcapitalgroup.com/trading-insights/hurst-exponent</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Topological Data Analysis (TDA) and Persistent Homology to Analyze the Stock Markets in Singapore and Taiwan - Frontiers, accessed March 16, 2026,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https://www.frontiersin.org/journals/physics/articles/10.3389/fphy.2021.572216/full</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Brier score - Wikipedia, accessed March 16, 2026, </w:t>
      </w:r>
      <w:hyperlink r:id="rId36">
        <w:r w:rsidDel="00000000" w:rsidR="00000000" w:rsidRPr="00000000">
          <w:rPr>
            <w:rFonts w:ascii="Google Sans" w:cs="Google Sans" w:eastAsia="Google Sans" w:hAnsi="Google Sans"/>
            <w:color w:val="0000ee"/>
            <w:sz w:val="24"/>
            <w:szCs w:val="24"/>
            <w:u w:val="single"/>
            <w:rtl w:val="0"/>
          </w:rPr>
          <w:t xml:space="preserve">https://en.wikipedia.org/wiki/Brier_score</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calibration (part II): Platt scaling, isotonic regression, and beta calibration., accessed March 16, 2026, </w:t>
      </w:r>
      <w:hyperlink r:id="rId37">
        <w:r w:rsidDel="00000000" w:rsidR="00000000" w:rsidRPr="00000000">
          <w:rPr>
            <w:rFonts w:ascii="Google Sans" w:cs="Google Sans" w:eastAsia="Google Sans" w:hAnsi="Google Sans"/>
            <w:color w:val="0000ee"/>
            <w:sz w:val="24"/>
            <w:szCs w:val="24"/>
            <w:u w:val="single"/>
            <w:rtl w:val="0"/>
          </w:rPr>
          <w:t xml:space="preserve">https://www.abzu.ai/data-science/calibration-introduction-part-2/</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Good Probabilities With Supervised Learning - Computer Science, accessed March 16, 2026, </w:t>
      </w:r>
      <w:hyperlink r:id="rId38">
        <w:r w:rsidDel="00000000" w:rsidR="00000000" w:rsidRPr="00000000">
          <w:rPr>
            <w:rFonts w:ascii="Google Sans" w:cs="Google Sans" w:eastAsia="Google Sans" w:hAnsi="Google Sans"/>
            <w:color w:val="0000ee"/>
            <w:sz w:val="24"/>
            <w:szCs w:val="24"/>
            <w:u w:val="single"/>
            <w:rtl w:val="0"/>
          </w:rPr>
          <w:t xml:space="preserve">https://www.cs.cornell.edu/~alexn/papers/calibration.icml05.crc.rev3.pdf</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Decision Support in Digital Retailing - Diva-Portal.org, accessed March 16, 2026, </w:t>
      </w:r>
      <w:hyperlink r:id="rId39">
        <w:r w:rsidDel="00000000" w:rsidR="00000000" w:rsidRPr="00000000">
          <w:rPr>
            <w:rFonts w:ascii="Google Sans" w:cs="Google Sans" w:eastAsia="Google Sans" w:hAnsi="Google Sans"/>
            <w:color w:val="0000ee"/>
            <w:sz w:val="24"/>
            <w:szCs w:val="24"/>
            <w:u w:val="single"/>
            <w:rtl w:val="0"/>
          </w:rPr>
          <w:t xml:space="preserve">https://www.diva-portal.org/smash/get/diva2:1802036/FULLTEXT01.pdf</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uncertainty quantification: A post hoc calibration approach for heart disease prediction - medRxiv.org, accessed March 16, 2026, </w:t>
      </w:r>
      <w:hyperlink r:id="rId40">
        <w:r w:rsidDel="00000000" w:rsidR="00000000" w:rsidRPr="00000000">
          <w:rPr>
            <w:rFonts w:ascii="Google Sans" w:cs="Google Sans" w:eastAsia="Google Sans" w:hAnsi="Google Sans"/>
            <w:color w:val="0000ee"/>
            <w:sz w:val="24"/>
            <w:szCs w:val="24"/>
            <w:u w:val="single"/>
            <w:rtl w:val="0"/>
          </w:rPr>
          <w:t xml:space="preserve">https://www.medrxiv.org/content/10.1101/2025.09.28.25336834v1.full-text</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Calibration Techniques and it's importance in Machine Learning - Subham Sarkar - Medium, accessed March 16, 2026, </w:t>
      </w:r>
      <w:hyperlink r:id="rId41">
        <w:r w:rsidDel="00000000" w:rsidR="00000000" w:rsidRPr="00000000">
          <w:rPr>
            <w:rFonts w:ascii="Google Sans" w:cs="Google Sans" w:eastAsia="Google Sans" w:hAnsi="Google Sans"/>
            <w:color w:val="0000ee"/>
            <w:sz w:val="24"/>
            <w:szCs w:val="24"/>
            <w:u w:val="single"/>
            <w:rtl w:val="0"/>
          </w:rPr>
          <w:t xml:space="preserve">https://kingsubham27.medium.com/calibration-techniques-and-its-importance-in-machine-learning-71bec997b661</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Architectures - Swarms, accessed March 16, 2026, </w:t>
      </w:r>
      <w:hyperlink r:id="rId42">
        <w:r w:rsidDel="00000000" w:rsidR="00000000" w:rsidRPr="00000000">
          <w:rPr>
            <w:rFonts w:ascii="Google Sans" w:cs="Google Sans" w:eastAsia="Google Sans" w:hAnsi="Google Sans"/>
            <w:color w:val="0000ee"/>
            <w:sz w:val="24"/>
            <w:szCs w:val="24"/>
            <w:u w:val="single"/>
            <w:rtl w:val="0"/>
          </w:rPr>
          <w:t xml:space="preserve">https://docs.swarms.world/en/latest/swarms/concept/swarm_architectures/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 Patterns in Financial Services: Architectures for Next-Generation AI Solutions | AWS Builder Center, accessed March 16, 2026, </w:t>
      </w:r>
      <w:hyperlink r:id="rId43">
        <w:r w:rsidDel="00000000" w:rsidR="00000000" w:rsidRPr="00000000">
          <w:rPr>
            <w:rFonts w:ascii="Google Sans" w:cs="Google Sans" w:eastAsia="Google Sans" w:hAnsi="Google Sans"/>
            <w:color w:val="0000ee"/>
            <w:sz w:val="24"/>
            <w:szCs w:val="24"/>
            <w:u w:val="single"/>
            <w:rtl w:val="0"/>
          </w:rPr>
          <w:t xml:space="preserve">https://builder.aws.com/content/2uDxjoo105xRO6Q7mfkogmOYTVp/multi-agent-system-patterns-in-financial-services-architectures-for-next-generation-ai-solutions</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Structured Generation Using JSONSchema | by Damodharan Jay - Medium, accessed March 16, 2026, </w:t>
      </w:r>
      <w:hyperlink r:id="rId44">
        <w:r w:rsidDel="00000000" w:rsidR="00000000" w:rsidRPr="00000000">
          <w:rPr>
            <w:rFonts w:ascii="Google Sans" w:cs="Google Sans" w:eastAsia="Google Sans" w:hAnsi="Google Sans"/>
            <w:color w:val="0000ee"/>
            <w:sz w:val="24"/>
            <w:szCs w:val="24"/>
            <w:u w:val="single"/>
            <w:rtl w:val="0"/>
          </w:rPr>
          <w:t xml:space="preserve">https://medium.com/@damodharanjay/llm-based-structured-generation-using-jsonschema-139568c4f7c9</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consistent data from your LLM with JSON Schema - Thoughtbot, accessed March 16, 2026, </w:t>
      </w:r>
      <w:hyperlink r:id="rId45">
        <w:r w:rsidDel="00000000" w:rsidR="00000000" w:rsidRPr="00000000">
          <w:rPr>
            <w:rFonts w:ascii="Google Sans" w:cs="Google Sans" w:eastAsia="Google Sans" w:hAnsi="Google Sans"/>
            <w:color w:val="0000ee"/>
            <w:sz w:val="24"/>
            <w:szCs w:val="24"/>
            <w:u w:val="single"/>
            <w:rtl w:val="0"/>
          </w:rPr>
          <w:t xml:space="preserve">https://thoughtbot.com/blog/get-consistent-data-from-your-llm-with-json-schema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drxiv.org/content/10.1101/2025.09.28.25336834v1.full-text" TargetMode="External"/><Relationship Id="rId20" Type="http://schemas.openxmlformats.org/officeDocument/2006/relationships/image" Target="media/image18.png"/><Relationship Id="rId42" Type="http://schemas.openxmlformats.org/officeDocument/2006/relationships/hyperlink" Target="https://docs.swarms.world/en/latest/swarms/concept/swarm_architectures/" TargetMode="External"/><Relationship Id="rId41" Type="http://schemas.openxmlformats.org/officeDocument/2006/relationships/hyperlink" Target="https://kingsubham27.medium.com/calibration-techniques-and-its-importance-in-machine-learning-71bec997b661" TargetMode="External"/><Relationship Id="rId22" Type="http://schemas.openxmlformats.org/officeDocument/2006/relationships/image" Target="media/image24.png"/><Relationship Id="rId44" Type="http://schemas.openxmlformats.org/officeDocument/2006/relationships/hyperlink" Target="https://medium.com/@damodharanjay/llm-based-structured-generation-using-jsonschema-139568c4f7c9" TargetMode="External"/><Relationship Id="rId21" Type="http://schemas.openxmlformats.org/officeDocument/2006/relationships/image" Target="media/image14.png"/><Relationship Id="rId43" Type="http://schemas.openxmlformats.org/officeDocument/2006/relationships/hyperlink" Target="https://builder.aws.com/content/2uDxjoo105xRO6Q7mfkogmOYTVp/multi-agent-system-patterns-in-financial-services-architectures-for-next-generation-ai-solutions" TargetMode="External"/><Relationship Id="rId24" Type="http://schemas.openxmlformats.org/officeDocument/2006/relationships/image" Target="media/image5.png"/><Relationship Id="rId23" Type="http://schemas.openxmlformats.org/officeDocument/2006/relationships/image" Target="media/image7.png"/><Relationship Id="rId45" Type="http://schemas.openxmlformats.org/officeDocument/2006/relationships/hyperlink" Target="https://thoughtbot.com/blog/get-consistent-data-from-your-llm-with-json-sch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2.png"/><Relationship Id="rId25" Type="http://schemas.openxmlformats.org/officeDocument/2006/relationships/image" Target="media/image25.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1.png"/><Relationship Id="rId31" Type="http://schemas.openxmlformats.org/officeDocument/2006/relationships/hyperlink" Target="https://arxiv.org/html/2408.06361v2" TargetMode="External"/><Relationship Id="rId30" Type="http://schemas.openxmlformats.org/officeDocument/2006/relationships/image" Target="media/image19.png"/><Relationship Id="rId11" Type="http://schemas.openxmlformats.org/officeDocument/2006/relationships/image" Target="media/image8.png"/><Relationship Id="rId33" Type="http://schemas.openxmlformats.org/officeDocument/2006/relationships/hyperlink" Target="https://www.samara-am.com/insights/hurst-exponent" TargetMode="External"/><Relationship Id="rId10" Type="http://schemas.openxmlformats.org/officeDocument/2006/relationships/image" Target="media/image21.png"/><Relationship Id="rId32" Type="http://schemas.openxmlformats.org/officeDocument/2006/relationships/hyperlink" Target="https://developers.googleblog.com/developers-guide-to-multi-agent-patterns-in-adk/" TargetMode="External"/><Relationship Id="rId13" Type="http://schemas.openxmlformats.org/officeDocument/2006/relationships/image" Target="media/image15.png"/><Relationship Id="rId35" Type="http://schemas.openxmlformats.org/officeDocument/2006/relationships/hyperlink" Target="https://www.frontiersin.org/journals/physics/articles/10.3389/fphy.2021.572216/full" TargetMode="External"/><Relationship Id="rId12" Type="http://schemas.openxmlformats.org/officeDocument/2006/relationships/image" Target="media/image4.png"/><Relationship Id="rId34" Type="http://schemas.openxmlformats.org/officeDocument/2006/relationships/hyperlink" Target="https://www.vortexcapitalgroup.com/trading-insights/hurst-exponent" TargetMode="External"/><Relationship Id="rId15" Type="http://schemas.openxmlformats.org/officeDocument/2006/relationships/image" Target="media/image23.png"/><Relationship Id="rId37" Type="http://schemas.openxmlformats.org/officeDocument/2006/relationships/hyperlink" Target="https://www.abzu.ai/data-science/calibration-introduction-part-2/" TargetMode="External"/><Relationship Id="rId14" Type="http://schemas.openxmlformats.org/officeDocument/2006/relationships/image" Target="media/image6.png"/><Relationship Id="rId36" Type="http://schemas.openxmlformats.org/officeDocument/2006/relationships/hyperlink" Target="https://en.wikipedia.org/wiki/Brier_score" TargetMode="External"/><Relationship Id="rId17" Type="http://schemas.openxmlformats.org/officeDocument/2006/relationships/image" Target="media/image20.png"/><Relationship Id="rId39" Type="http://schemas.openxmlformats.org/officeDocument/2006/relationships/hyperlink" Target="https://www.diva-portal.org/smash/get/diva2:1802036/FULLTEXT01.pdf" TargetMode="External"/><Relationship Id="rId16" Type="http://schemas.openxmlformats.org/officeDocument/2006/relationships/image" Target="media/image17.png"/><Relationship Id="rId38" Type="http://schemas.openxmlformats.org/officeDocument/2006/relationships/hyperlink" Target="https://www.cs.cornell.edu/~alexn/papers/calibration.icml05.crc.rev3.pdf" TargetMode="External"/><Relationship Id="rId19" Type="http://schemas.openxmlformats.org/officeDocument/2006/relationships/image" Target="media/image1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