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Financial Prediction Methodologies: Emerging Paradigms and Project Applications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Evolving Predictive Landscape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theoretical foundations of financial prediction are undergoing a profound paradigm shift. For decades, the dominant theoretical frameworks have been grounded in classical econometrics, the Efficient Market Hypothesis (EMH), and stochastic calculus. These traditional models largely conceptualize financial markets as linear, stationary environments governed by rational actors, where asset prices follow geometric random walks and instantly incorporate all available public and private information.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empirical reality of global financial markets is one of profound, emergent complexity. Modern markets are characterized by non-linear dependencies, heavy-tailed return distributions, persistent volatility clustering, and the bounded rationality of heterogeneous participants acting across interconnected digital networks.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limitations of classical approaches in capturing dynamic interactions, cross-border contagion effects, and systemic risks have necessitated the exploration of highly interdisciplinary methodologies.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financial technology landscape matures into the late 2020s, the era of uncritical artificial intelligence evangelism is giving way to an era of rigorous evaluation and multidisciplinary synthesis.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Emerging theoretical prediction methodologies synthesize insights from the exact sciences—including theoretical physics, advanced mathematics, physical chemistry, and complex systems computer science—into quantitative financial forecasting. Fields such as econophysics, quantum finance, chaos theory, advanced neural network architectures, and agent-based modeling are entirely redefining how market variables are understood, processed, and predicted. Unlike traditional statistical paradigms that force highly irregular financial data into rigid parametric constraints, these emerging methodologies embrace the intrinsic disorder, long-term memory, and spatial interconnectedness of financial ecosystems.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recognizing the global economy as a complex, history-dependent, and continually evolving organic process, these frameworks offer highly robust mechanisms to model temporal dynamics and cross-market dependencies.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exhaustively details the theoretical foundations, mathematical mechanics, and predictive validity of these emerging prediction methodologies. By dissecting the underlying principles of thermodynamic econophysics, non-linear chaotic dynamics, quantum mechanics, fractional calculus, and foundation artificial intelligence models, the analysis systematically compares these modern approaches against classical econometric baselines and alternative qualitative methods. Ultimately, the synthesis of these advanced frameworks provides a direct, actionable blueprint for integration into applied financial forecasting projects, bridging the fundamental gap between theoretical physics and applied quantitative trading.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Classical Baseline: Traditional Econometrics and Alternative Methods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fully appreciate the theoretical innovations of emerging predictive methodologies, one must first establish the baseline capabilities, assumptions, and critical limitations of traditional financial forecasting. Traditional quantitative models rely heavily on rigid statistical frameworks and econometric techniques designed to extract linear patterns from historical data.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prominent of these classical methods include the Autoregressive Integrated Moving Average (ARIMA) and Generalized Autoregressive Conditional Heteroskedasticity (GARCH) modeling families. ARIMA models operate by estimating future asset values based on historical records, focusing primarily on modeling the conditional mean of a univariate time series.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GARCH models were subsequently developed to address the specific phenomenon of volatility clustering—the observation that large price changes tend to be followed by large changes, and small changes by small changes. Unlike ARIMA, the GARCH framework models the conditional variance by analyzing the error terms of the time series, providing a mathematical mechanism to measure the evolving volatility of assets.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these classical statistical models offer exceptionally high interpretability, transparency, and strong performance under stable, linear market conditions, they critically fail to adapt when confronted with the realities of modern finance.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Classical econometrics requires underlying assumptions of stationarity, meaning the statistical properties of the system do not change over time. When markets experience structural breaks, sudden macroeconomic regime shifts, or the high-dimensional interactions characteristic of contemporary financial crises, traditional models lack the structural flexibility to adapt, resulting in severe predictive degradation.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response to these quantitative limitations, financial analysts often deploy alternative, qualitative (or judgment-based) forecasting methods. Qualitative financial forecasting harnesses the collective judgment, tacit knowledge, and experience of industry veterans to transcend the limitations of purely quantitative analysis.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These alternative methods are typically employed in situations where historical precedents are entirely lacking, or when massive paradigm shifts—such as the emergence of disruptive technologies or geopolitical realignments—are reshaping markets in ways that historical numeric data cannot reflect.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alternative methods are inherently subjective, difficult to scale, and cannot be rigorously backtested or optimized using computational frameworks.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predictive performance of traditional quantitative models is typically evaluated using standard forecast error metrics. Understanding these metrics is vital for comparing classical models against emerging methodologies.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and Application in Financial Forecasting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Vulnerabilities and Limitations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Root Mean Squared Error (RMSE)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Measures the standard deviation of prediction errors, penalizing large forecasting errors heavily. Widely used to evaluate ARIMA and GARCH accuracy.</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sensitive to outliers, which are common in heavy-tailed financial return distributions, potentially skewing model evaluation.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Mean Absolute Percentage Error (MAPE)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Expresses prediction accuracy as a percentage, offering an intuitive understanding of relative error across different asset classes.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Becomes unstable or undefined when actual values approach zero; extreme sensitivity to volatility limits its utility in highly unstable environments like cryptocurrency markets.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Aggregated Mean Squared Forecast Error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74625" cy="201119"/>
                  <wp:effectExtent b="0" l="0" r="0" t="0"/>
                  <wp:docPr id="1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4625" cy="201119"/>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specific loss function utilizing temporal aggregation to compare the predictive performances of volatility models over longer horizons.</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Often fails to capture intraday microstructural volatility shifts, lagging behind high-frequency changes in market variance.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QLIKE (Quasi-Likelihood)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loss function robust to noise in volatility proxies, frequently used to benchmark GARCH models against advanced Support Vector Regressions or Quantum models.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Assumes a specific parametric structure for the underlying distribution, which may be violated during extreme tail events or market crashes.</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traditional trading strategies built upon these classical models typically default to either momentum or mean-reversion approaches. Momentum trading focuses on riding strong historical trends, assuming that assets showing robust recent performance will continue to do so, while mean reversion relies on the principle that prices will eventually return to their historical average.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Classical algorithms generally utilize fixed lookback periods (such as simple moving averages) to execute these strategies.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inherent flaw in this traditional approach is its inability to dynamically detect market regime changes. As markets transition rapidly between trending and ranging states, static algorithms suffer severe drawdowns, necessitating the development of more adaptive, complex systems.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complex systems approach argues that economic phenomena must be investigated not as the outcome of deterministic, predictable, and mechanistic dynamics, but as history-dependent, organic, and continually evolving processes.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Economic agents act with strategic foresight and continually adjust their operations, creating dense layers of feedback loops that add a level of complexity fundamentally absent in the natural sciences.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exact scientific methods must be adapted to account for human psychology, sociological phenomena, and behavioral unpredictability, validating initial assumptions against actual market conditions.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methodologies discussed in the following sections represent the cutting edge of this adaptation.</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Econophysics and Thermodynamic Financial Modeling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Econophysics emerged as a distinct interdisciplinary research field in the mid-1990s, pioneered by theoretical physicists unsatisfied with the traditional explanations offered by neoclassical economists.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Traditional economic theories often prioritized mathematically soluble models over agreement with empirical data, relying on axioms of perfect rationality, completeness of preferences, and the Savage axioms of expected utility.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Econophysics abandons these restrictive axioms, instead applying theories and methodologies originally developed in statistical mechanics to problems in economics, particularly those involving extreme uncertainty, stochastic processes, and nonlinear dynamics.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 this framework, the global financial system is modeled as a massive vector field of forces existing within an informational space, where economic entities interact according to the laws of thermodynamics and classical mechanics.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foundational pillar of econophysics is the application of thermodynamic principles—most notably entropy—to financial markets. Entropy, originally defined in physics as a measure of uncertainty, disorder, and the unavailability of a system's thermal energy for conversion into mechanical work, provides profound insights into market unpredictability.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Research in this domain distinguishes between metaphorical entropy, where the mathematical formalisms of entropy are simply borrowed to model economic phenomena, and ontological entropy, where actual thermodynamic processes involving the flow of energy and information drive economic dynamics.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context of financial markets, the stock exchange is conceptualized as a non-isolated thermodynamic system subject to a continuous information exchange process with the broader real economy.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Utilizing principles from information theory, the information entropy of the financial system fluctuates solely through the exchange of information with its exterior environment.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Information entropy is frequently deployed as an empirical measure of stock market efficiency. High entropy values indicate a high degree of randomness in the evolution of stock prices, aligning closely with the Efficient Market Hypothesis, whereas low entropy values indicate emerging order, herding behavior, and potential predictability.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Empirical studies utilizing data on foreign exchange markets have established a strong negative relationship between the information entropy of intraday returns and standard risk metrics such as intraday Value-at-Risk (VaR) and Expected Shortfall, positioning entropy as a highly robust, real-time predictor for market risk.</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Advancing beyond basic informational entropy, recent econophysics models have derived the concepts of "Market Temperature" and "Market Entropy" directly from the kinetic and potential energies observed within the Limit Order Book (LOB).</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Limit Order Book, managed by centralized exchanges, serves as a massive repository of bid and ask orders, providing granular data on market microstructure.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 these sophisticated models, Market Temperature emerges as a highly robust indicator of market liquidity, correlating strongly with active quote volumes, bid-ask spreads, and order match volumes.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Conversely, Market Entropy quantifies the degree of disorder or randomness within the LOB, providing deep insights into the instantaneous price volatility characteristic of high-frequency trading markets.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researchers have recently established a thermodynamic-like framework derived from the fluctuation theorem of statistical physics, defining market temperature through the probability ratio of positive to negative asset returns.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framework has yielded highly counterintuitive predictive insights regarding financial crises. Through empirical analysis spanning major global indices, researchers discovered a significant relationship between market temperature stability and crisis occurrence: severe financial crises tend to emerge far more frequently during periods of apparent temperature stability rather than periods of instability. This phenomenon suggests that unusually stable periods in market temperature signal the quiet accumulation of systemic risks, acting much like the deceptive calm before a storm in complex physical systems.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Econophysics also focuses heavily on the study of power-law distributions. Unlike classical finance, which generally assumes asset returns follow a normal (Gaussian) distribution, econophysicists have empirically demonstrated that financial markets are governed by heavy-tailed power laws.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inverse cubic law of returns and the power-law decay of volatility autocorrelations are considered universal stylized facts, existing independently of specific market mechanisms or geographies.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These power-law distributions reflect powerful anti-entropic forces driving wealth concentration and extreme market movements. For example, the well-known "yard-sale model" in econophysics demonstrates mathematically how unregulated, free exchange naturally and inevitably leads to extreme wealth condensation (oligarchy), requiring external redistribution mechanisms to maintain systemic stability—a conclusion derived entirely from statistical mechanics rather than classical political economy.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Chaos Theory and Non-Linear Market Dynamics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traditional econometric finance views erratic market fluctuations as stochastic noise obscuring an underlying equilibrium, chaos theory posits that beneath these apparently random, irregular evolutions lies a deterministic, non-linear generating system.</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Chaos theory provides a powerful epistemological framework for understanding financial instability, claiming that market fluctuations are not random but follow highly specific, albeit complex, mathematical patterns.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Because chaotic systems are deterministic, researchers can take advantage of this characteristic to make accurate predictions in the short term, even though the system's extreme sensitivity to initial conditions (the butterfly effect) renders long-term forecasting fundamentally impossible.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mathematical tool utilized to analyze chaotic financial time series is Phase Space Reconstruction, a methodology governed by Takens' embedding theorem. According to Takens' theory, the hidden dynamics and inherent topological characteristics of a multi-dimensional chaotic system can be fully reconstructed from a single-dimensional observed time series (such as historical asset closing prices).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reconstruction is achieved by embedding the observed scalar time series into a multi-dimensional space utilizing a suitable time delay (</w:t>
      </w:r>
      <w:r w:rsidDel="00000000" w:rsidR="00000000" w:rsidRPr="00000000">
        <w:rPr>
          <w:rFonts w:ascii="Google Sans" w:cs="Google Sans" w:eastAsia="Google Sans" w:hAnsi="Google Sans"/>
          <w:color w:val="1f1f1f"/>
        </w:rPr>
        <w:drawing>
          <wp:inline distB="19050" distT="19050" distL="19050" distR="19050">
            <wp:extent cx="101500" cy="221455"/>
            <wp:effectExtent b="0" l="0" r="0" t="0"/>
            <wp:docPr id="1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0150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an embedding dimension (</w:t>
      </w:r>
      <w:r w:rsidDel="00000000" w:rsidR="00000000" w:rsidRPr="00000000">
        <w:rPr>
          <w:rFonts w:ascii="Google Sans" w:cs="Google Sans" w:eastAsia="Google Sans" w:hAnsi="Google Sans"/>
          <w:color w:val="1f1f1f"/>
        </w:rPr>
        <w:drawing>
          <wp:inline distB="19050" distT="19050" distL="19050" distR="19050">
            <wp:extent cx="161925" cy="228600"/>
            <wp:effectExtent b="0" l="0" r="0" t="0"/>
            <wp:docPr id="12"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6192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92869" cy="222885"/>
            <wp:effectExtent b="0" l="0" r="0" t="0"/>
            <wp:docPr id="1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92869" cy="222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state vector of the reconstructed phase space is mathematically defined as: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Determining the optimal parameters for this reconstruction is a critical and computationally delicate process.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time delay (</w:t>
      </w:r>
      <w:r w:rsidDel="00000000" w:rsidR="00000000" w:rsidRPr="00000000">
        <w:rPr>
          <w:rFonts w:ascii="Google Sans" w:cs="Google Sans" w:eastAsia="Google Sans" w:hAnsi="Google Sans"/>
          <w:color w:val="1f1f1f"/>
        </w:rPr>
        <w:drawing>
          <wp:inline distB="19050" distT="19050" distL="19050" distR="19050">
            <wp:extent cx="101500" cy="221455"/>
            <wp:effectExtent b="0" l="0" r="0" t="0"/>
            <wp:docPr id="1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0150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frequently determined using the Average Mutual Information (AMI) method, which evaluates the non-linear correlation of the system to find the first minimum point where the data points are sufficiently independent, thus preventing redundancy in the reconstructed space.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To determine the correct embedding dimension (</w:t>
      </w:r>
      <w:r w:rsidDel="00000000" w:rsidR="00000000" w:rsidRPr="00000000">
        <w:rPr>
          <w:rFonts w:ascii="Google Sans" w:cs="Google Sans" w:eastAsia="Google Sans" w:hAnsi="Google Sans"/>
          <w:color w:val="1f1f1f"/>
        </w:rPr>
        <w:drawing>
          <wp:inline distB="19050" distT="19050" distL="19050" distR="19050">
            <wp:extent cx="161925" cy="228600"/>
            <wp:effectExtent b="0" l="0" r="0" t="0"/>
            <wp:docPr id="16"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6192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algorithms such as the False Nearest Neighbors (FNN) technique or Cao's method are employed. These methodologies iteratively increase the embedding dimension and calculate the distances between neighboring trajectory points; if the distance diverges significantly when moving from dimension </w:t>
      </w:r>
      <w:r w:rsidDel="00000000" w:rsidR="00000000" w:rsidRPr="00000000">
        <w:rPr>
          <w:rFonts w:ascii="Google Sans" w:cs="Google Sans" w:eastAsia="Google Sans" w:hAnsi="Google Sans"/>
          <w:color w:val="1f1f1f"/>
        </w:rPr>
        <w:drawing>
          <wp:inline distB="19050" distT="19050" distL="19050" distR="19050">
            <wp:extent cx="161925" cy="228600"/>
            <wp:effectExtent b="0" l="0" r="0" t="0"/>
            <wp:docPr id="21"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6192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479525" cy="230172"/>
            <wp:effectExtent b="0" l="0" r="0" t="0"/>
            <wp:docPr id="1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79525" cy="2301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points are deemed "false" neighbors caused by the projection of a higher-dimensional attractor onto a lower-dimensional space.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Once the phase space is accurately reconstructed, the original, highly complex topology of the strange attractor driving the financial market is revealed, providing a geometric foundation for predictive modeling.</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explicitly quantify the presence of deterministic chaos within the reconstructed phase space, researchers calculate the Maximum Lyapunov Exponent (MLE). The Lyapunov exponent measures the average rate of exponential divergence or convergence of infinitesimally close trajectories within the phase space.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 positive MLE definitively proves the existence of low-dimensional deterministic chaos and confirms the long-term unpredictability of the time series, providing a mathematical boundary for the forecasting horizon.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In practical forecasting applications, hybrid models combine Phase Space Reconstruction with Artificial Neural Networks (ANNs). The multidimensional coordinates of the reconstructed strange attractor are extracted and fed into a Multi-Layer Perceptron (MLP), which is often optimized by multi-objective evolutionary algorithms (such as NSGA-II or MOPSO), yielding predictive performance that vastly outperforms traditional linear autoregression.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Closely related to the concepts of phase space and strange attractors is the analysis of fractal geometry and long-term memory in financial time series, quantified by the Hurst Exponent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2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Originally developed in hydrology to determine the optimum size of dams on the Nile River, the Hurst exponent evaluates the rate of diffusive behavior and scaling properties in a time series using rescaled range analysis.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exponent classifies the nature of the market's memory and provides a definitive indicator for algorithmic strategy selection.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Hurst Exponent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Implied Trading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68672" cy="199035"/>
                  <wp:effectExtent b="0" l="0" r="0" t="0"/>
                  <wp:docPr id="2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68672" cy="19903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Pure geometric random walk; no long-term memory. The time series is purely stochastic.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Strategies based on historical price patterns will fail; aligns with the Efficient Market Hypothesis.</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864691" cy="199544"/>
                  <wp:effectExtent b="0" l="0" r="0" t="0"/>
                  <wp:docPr id="2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864691" cy="19954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Anti-persistent or mean-reverting. The series exhibits high volatility and tends to reverse direction frequently.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Mean Reversion Trading: Capitalizing on prices returning to their historical average. Ideal for range-bound, oscillating markets.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990152" cy="199935"/>
                  <wp:effectExtent b="0" l="0" r="0" t="0"/>
                  <wp:docPr id="2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990152" cy="19993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Persistent or trending. The series exhibits long-term memory and a strong directional momentum.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Momentum Trading: Riding strong, sustained trends. Accepts higher risk for larger gains in trending environments.</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modern algorithmic trading, estimating a rolling-window Hurst exponent acts as a highly effective, dynamic regime-detection filter. Empirical analyses conducted on major indices, such as the NASDAQ, indicate that financial markets may spend upward of 90% to 95% of their time in mean-reverting states (</w:t>
      </w:r>
      <w:r w:rsidDel="00000000" w:rsidR="00000000" w:rsidRPr="00000000">
        <w:rPr>
          <w:rFonts w:ascii="Google Sans" w:cs="Google Sans" w:eastAsia="Google Sans" w:hAnsi="Google Sans"/>
          <w:color w:val="1f1f1f"/>
        </w:rPr>
        <w:drawing>
          <wp:inline distB="19050" distT="19050" distL="19050" distR="19050">
            <wp:extent cx="649784" cy="229336"/>
            <wp:effectExtent b="0" l="0" r="0" t="0"/>
            <wp:docPr id="29"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649784" cy="229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pure trending momentum occurring only in brief, highly volatile bursts.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dynamically calculating the Hurst exponent, quantitative models can switch seamlessly between momentum strategies (when </w:t>
      </w:r>
      <w:r w:rsidDel="00000000" w:rsidR="00000000" w:rsidRPr="00000000">
        <w:rPr>
          <w:rFonts w:ascii="Google Sans" w:cs="Google Sans" w:eastAsia="Google Sans" w:hAnsi="Google Sans"/>
          <w:color w:val="1f1f1f"/>
        </w:rPr>
        <w:drawing>
          <wp:inline distB="19050" distT="19050" distL="19050" distR="19050">
            <wp:extent cx="649784" cy="229336"/>
            <wp:effectExtent b="0" l="0" r="0" t="0"/>
            <wp:docPr id="3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649784" cy="229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mean-reversion strategies, significantly optimizing risk-adjusted returns and mitigating the severe drawdowns associated with deploying the wrong strategy in the wrong market regime.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Finance: Probability Amplitudes and Path Integrals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Quantum finance represents one of the most mathematically rigorous and conceptually profound departures from classical financial theory. The nascent field seeks to leverage the formalisms of quantum mechanics—not as literal descriptions of subatomic particles acting within financial markets, but as exceptionally powerful analogical and computational frameworks to model extreme uncertainty and complex human decision-making.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Classical economics relies on strict axioms of rationality, definitive probabilistic outcomes, and the assumption that all variables can be simultaneously known. Quantum mechanics, conversely, models systems as existing in a superposition of potential states described by a complex state vector </w:t>
      </w:r>
      <w:r w:rsidDel="00000000" w:rsidR="00000000" w:rsidRPr="00000000">
        <w:rPr>
          <w:rFonts w:ascii="Google Sans" w:cs="Google Sans" w:eastAsia="Google Sans" w:hAnsi="Google Sans"/>
          <w:color w:val="1f1f1f"/>
        </w:rPr>
        <w:drawing>
          <wp:inline distB="19050" distT="19050" distL="19050" distR="19050">
            <wp:extent cx="249734" cy="230524"/>
            <wp:effectExtent b="0" l="0" r="0" t="0"/>
            <wp:docPr id="3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249734" cy="2305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a Hilbert space, which only collapses into a definitive value upon measurement—analogous to a financial asset existing in a superposition of valuations until a market transaction actualizes a specific price.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theoretical bridge between quantum physics and quantitative finance is most clearly demonstrated through the profound mathematical interconnectedness of the Schrödinger equation and the Black-Scholes-Merton model.</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Schrödinger equation, the absolute cornerstone of quantum mechanics, describes the time evolution of a complex quantum state function driven by a Hermitian Hamiltonian, guaranteeing time-reversibility.</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Conversely, the Black-Scholes partial differential equation (PDE), the foundation of quantitative option pricing, is a real-valued, time-irreversible process due to its non-Hermitian Hamiltonian.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However, through rigorous mathematical transformation, physicists have demonstrated that the Black-Scholes equation is effectively the Schrödinger equation operating in imaginary time.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By mapping financial variables appropriately—specifically identifying the particle mass as the inverse of the square of the volatility (</w:t>
      </w:r>
      <w:r w:rsidDel="00000000" w:rsidR="00000000" w:rsidRPr="00000000">
        <w:rPr>
          <w:rFonts w:ascii="Google Sans" w:cs="Google Sans" w:eastAsia="Google Sans" w:hAnsi="Google Sans"/>
          <w:color w:val="1f1f1f"/>
        </w:rPr>
        <w:drawing>
          <wp:inline distB="19050" distT="19050" distL="19050" distR="19050">
            <wp:extent cx="777925" cy="227685"/>
            <wp:effectExtent b="0" l="0" r="0" t="0"/>
            <wp:docPr id="34"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777925" cy="2276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applying an exponential change of variables (</w:t>
      </w:r>
      <w:r w:rsidDel="00000000" w:rsidR="00000000" w:rsidRPr="00000000">
        <w:rPr>
          <w:rFonts w:ascii="Google Sans" w:cs="Google Sans" w:eastAsia="Google Sans" w:hAnsi="Google Sans"/>
          <w:color w:val="1f1f1f"/>
        </w:rPr>
        <w:drawing>
          <wp:inline distB="19050" distT="19050" distL="19050" distR="19050">
            <wp:extent cx="501550" cy="227117"/>
            <wp:effectExtent b="0" l="0" r="0" t="0"/>
            <wp:docPr id="3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01550" cy="2271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Black-Scholes equation is proven to be completely invariant under the Schrödinger group.</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expansions of this quantum model address the persistent disparities between theoretical Black-Scholes pricing and actual empirical options prices observed in the market. By representing unobservable or non-actionable private information as an additional pseudo-Wiener process that does not commute with public information, researchers generate a non-commutative relation analogous to that between a boson field and its canonical momentum in quantum field theory.</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This non-commutative operator framework yields an imaginary volatility component that perfectly compensates for the pricing errors inherent in classical models, providing market evidence for the influence of non-classical processes based on non-commuting operators.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differential equations, the Feynman path integral methodology has revolutionized the pricing of complex, path-dependent options. In quantum mechanics, a particle does not take a single definitive trajectory; rather, it takes all possible paths between two points simultaneously, with the probability amplitude of each path determined by the classical action </w:t>
      </w:r>
      <w:r w:rsidDel="00000000" w:rsidR="00000000" w:rsidRPr="00000000">
        <w:rPr>
          <w:rFonts w:ascii="Google Sans" w:cs="Google Sans" w:eastAsia="Google Sans" w:hAnsi="Google Sans"/>
          <w:color w:val="1f1f1f"/>
        </w:rPr>
        <w:drawing>
          <wp:inline distB="19050" distT="19050" distL="19050" distR="19050">
            <wp:extent cx="841920" cy="229615"/>
            <wp:effectExtent b="0" l="0" r="0" t="0"/>
            <wp:docPr id="36"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841920" cy="2296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In finance, the risk-neutral valuation of path-dependent derivatives (such as Asian, floating barrier, and lookback options) admits an elegant mathematical representation in terms of these path integrals via the Feynman-Kac formula.</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The path integral representation of the transition probability density explicitly satisfies the diffusion PDE, and Gaussian path integrals yield highly accurate closed-form solutions via the Van Vleck formula.</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In the classical limit—as Planck’s constant </w:t>
      </w:r>
      <w:r w:rsidDel="00000000" w:rsidR="00000000" w:rsidRPr="00000000">
        <w:rPr>
          <w:rFonts w:ascii="Google Sans" w:cs="Google Sans" w:eastAsia="Google Sans" w:hAnsi="Google Sans"/>
          <w:color w:val="1f1f1f"/>
        </w:rPr>
        <w:drawing>
          <wp:inline distB="19050" distT="19050" distL="19050" distR="19050">
            <wp:extent cx="485478" cy="228460"/>
            <wp:effectExtent b="0" l="0" r="0" t="0"/>
            <wp:docPr id="37"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485478" cy="2284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physics, or as variance approaches zero in finance—the exponential factor oscillates incredibly rapidly, and the primary contribution to the path integral comes from the stationary "classical" paths dictated by the Euler-Lagrange equations.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Financial fluctuations, price spikes, and volatility can thus be elegantly mapped as "quantum corrections" (</w:t>
      </w:r>
      <w:r w:rsidDel="00000000" w:rsidR="00000000" w:rsidRPr="00000000">
        <w:rPr>
          <w:rFonts w:ascii="Google Sans" w:cs="Google Sans" w:eastAsia="Google Sans" w:hAnsi="Google Sans"/>
          <w:color w:val="1f1f1f"/>
        </w:rPr>
        <w:drawing>
          <wp:inline distB="19050" distT="19050" distL="19050" distR="19050">
            <wp:extent cx="1507922" cy="229051"/>
            <wp:effectExtent b="0" l="0" r="0" t="0"/>
            <wp:docPr id="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1507922" cy="2290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fluctuating around the deterministic classical trajectory.</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Transitioning from theoretical pricing to applied forecasting, Quantum Machine Learning (QML) introduces entirely new computational primitives that address the scaling limitations of classical deep learning models in high-dimensional, small-label environments.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As the computing industry moves toward a "mosaic" architecture integrating CPUs, GPUs, and Quantum Processing Units (QPUs) by 2026, hybrid classical-quantum models are achieving state-of-the-art empirical results.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Several QML architectures have demonstrated immense theoretical and practical value in financial forecasting:</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Quantum Circuit Born Machines (QCBMs):</w:t>
      </w:r>
      <w:r w:rsidDel="00000000" w:rsidR="00000000" w:rsidRPr="00000000">
        <w:rPr>
          <w:rFonts w:ascii="Google Sans" w:cs="Google Sans" w:eastAsia="Google Sans" w:hAnsi="Google Sans"/>
          <w:color w:val="1f1f1f"/>
          <w:rtl w:val="0"/>
        </w:rPr>
        <w:t xml:space="preserve"> QCBMs exploit the inherent probabilistic nature of quantum mechanics to perform complex unsupervised generative modeling. Utilizing the exact same number of parameters, hardware-efficient QCBMs run on ion-trap quantum computers have demonstrated superior performance in generating realistic time-series pricing data for portfolio optimization compared to canonically trained classical Restricted Boltzmann Machines (RBMs).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Quantum Long Short-Term Memory (QLSTM):</w:t>
      </w:r>
      <w:r w:rsidDel="00000000" w:rsidR="00000000" w:rsidRPr="00000000">
        <w:rPr>
          <w:rFonts w:ascii="Google Sans" w:cs="Google Sans" w:eastAsia="Google Sans" w:hAnsi="Google Sans"/>
          <w:color w:val="1f1f1f"/>
          <w:rtl w:val="0"/>
        </w:rPr>
        <w:t xml:space="preserve"> By substituting standard neural operations with parameterized quantum circuits (PQCs), QLSTMs process sequence data with enhanced feature expressivity. In rigorous live-trading simulations benchmarking the S&amp;P 500, QLSTMs consistently achieved higher risk-adjusted returns and testing accuracy than architecture-matched classical LSTMs across multiple highly volatile market regimes.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Quantum-Inspired Swarm Optimization (QPSO):</w:t>
      </w:r>
      <w:r w:rsidDel="00000000" w:rsidR="00000000" w:rsidRPr="00000000">
        <w:rPr>
          <w:rFonts w:ascii="Google Sans" w:cs="Google Sans" w:eastAsia="Google Sans" w:hAnsi="Google Sans"/>
          <w:color w:val="1f1f1f"/>
          <w:rtl w:val="0"/>
        </w:rPr>
        <w:t xml:space="preserve"> Even without access to fault-tolerant quantum hardware, quantum-inspired classical algorithms deliver massive speedups. QPSO mimics the superposition and quantum tunneling effects of subatomic particles to perform hyperparameter optimization. By utilizing quantum tunneling, the optimization algorithm effortlessly escapes local minima in the loss landscape, significantly enhancing the forecasting accuracy and learning rates of classical Recurrent Neural Networks applied to highly noisy time series.</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Rough Volatility Models and Fractional Calculus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stochastic volatility models, such as the classical Heston model, operate on the fundamental assumption that asset volatility is driven by standard Brownian motion.</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This mathematical assumption implies that volatility paths are continuous, relatively smooth, and possess independent increments.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However, extensive high-frequency empirical observation over the last decade has completely invalidated this assumption, revealing that instantaneous log-volatility paths are highly erratic, exhibiting "rough" behavior that traditional stochastic calculus cannot accurately reproduce.</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Rough Volatility models address this deficiency by substituting standard Brownian motion with fractional Brownian motion (fBm). Unlike standard Brownian motion, fBm is characterized by the Hurst parameter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Empirical measurements of high-frequency market data demonstrate conclusively that the log-volatility of financial assets behaves like an fBm with an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 significantly less than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(typically hovering around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This </w:t>
      </w:r>
      <w:r w:rsidDel="00000000" w:rsidR="00000000" w:rsidRPr="00000000">
        <w:rPr>
          <w:rFonts w:ascii="Google Sans" w:cs="Google Sans" w:eastAsia="Google Sans" w:hAnsi="Google Sans"/>
          <w:color w:val="1f1f1f"/>
        </w:rPr>
        <w:drawing>
          <wp:inline distB="19050" distT="19050" distL="19050" distR="19050">
            <wp:extent cx="649784" cy="229336"/>
            <wp:effectExtent b="0" l="0" r="0" t="0"/>
            <wp:docPr id="6"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649784" cy="229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 generates highly jagged, rough sample paths that persist across temporal scales, exhibiting pronounced fractal-type behavior. Consequently, the graph of asset volatility observed over a micro-scale timeframe (e.g., minutes) is statistically and visually indistinguishable from the graph of volatility over a macro-scale timeframe (e.g., years).</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rough volatility is not merely a statistical artifact or a mathematical curiosity; it is deeply grounded in the fundamental realities of market microstructure. Rough volatility models can be derived analytically as the scaling limit of high-frequency Hawkes processes, directly linking the macroscopic roughness of market volatility to the persistence of micro-level order flow and the extreme endogeneity of liquid electronic markets.</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fractional Brownian motion introduces severe mathematical complications. Because fBm with </w:t>
      </w:r>
      <w:r w:rsidDel="00000000" w:rsidR="00000000" w:rsidRPr="00000000">
        <w:rPr>
          <w:rFonts w:ascii="Google Sans" w:cs="Google Sans" w:eastAsia="Google Sans" w:hAnsi="Google Sans"/>
          <w:color w:val="1f1f1f"/>
        </w:rPr>
        <w:drawing>
          <wp:inline distB="19050" distT="19050" distL="19050" distR="19050">
            <wp:extent cx="690711" cy="227083"/>
            <wp:effectExtent b="0" l="0" r="0" t="0"/>
            <wp:docPr id="7"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690711" cy="227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not a semimartingale, it entirely lacks the Markov property, meaning that future volatility states heavily depend on the entire historical path rather than just the present state.</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Consequently, classical Itô calculus, the standard tool of financial mathematics, cannot be used to evaluate implied volatility or price derivatives.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Instead, Rough Volatility models require the application of Malliavin calculus—a highly complex stochastic calculus of variations—to compute derivative operators, Skorohod integrals, and Hull-White type pricing formulas.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Despite these computational hurdles, models such as the Rough Bergomi and Rough Heston have shown extraordinary capacity to accurately replicate the negative power law of the implied volatility skew observed in real-world options markets, a feat classical multi-factor GARCH or standard Brownian models fundamentally struggle to accomplish without extreme, unnatural parameter forcing.</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Integrating these rough volatility measures into standard risk management frameworks, such as Value-at-Risk (VaR), provides a significantly more realistic evaluation of downside tail-risk, as the framework explicitly prices in the historical memory, clustering, and sudden discontinuous jumps that typify market panics.</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Neural Architectures: Foundation Models and Transformers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financial technology sector progresses through 2026, artificial intelligence methodologies have evolved radically from standard Multi-Layer Perceptrons (MLPs) and basic Recurrent Neural Networks (RNNs). The current frontier is dominated by Large Language Models (LLMs), Transformer architectures, and multi-modal agents capable of reasoning across disparate data types.</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breakthrough in theoretical prediction is the adaptation of LLM architectures into Time-Series Foundation Models (TSFMs). Models such as Time-LLM and Google's TimesFM pioneered zero-shot forecasting by training massive encoder-decoder Transformers on vast, heterogeneous collections of public time-series data.</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Instead of processing individual numbers, these models tokenize contiguous timepoints into "patches," allowing the transformer's attention mechanisms to process sequential numerical data exactly as they process linguistic tokens.</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TSFMs leverage advanced prompt engineering to perform in-context learning without requiring task-specific fine-tuning. Techniques such as patch-based prompting, zero-shot prompting with explicit macroeconomic contextual instructions, and "neighbor-augmented" prompting (where similar, correlated time series are fed into the prompt to help the LLM spot common structures) allow these models to dynamically adjust forecasts based on a synthesis of numerical data and non-numerical sentiment.</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The integration of NLP sentiment analysis directly into the attention layers of these numerical transformers yields highly robust multi-modal prediction engines capable of capturing both market fundamentals and human psychology.</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standard transformers excel at sequential data, they generally treat individual stocks in isolation, acting as opaque black boxes that fail to capture the vital cross-sectional correlations that drive market-wide capital flows.</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The MASTER (MArkert-guided Stock TransformER) architecture directly resolves this limitation by mathematically mining momentary and cross-time stock correlations.</w:t>
      </w:r>
      <w:r w:rsidDel="00000000" w:rsidR="00000000" w:rsidRPr="00000000">
        <w:rPr>
          <w:rFonts w:ascii="Google Sans" w:cs="Google Sans" w:eastAsia="Google Sans" w:hAnsi="Google Sans"/>
          <w:color w:val="444746"/>
          <w:sz w:val="24"/>
          <w:szCs w:val="24"/>
          <w:vertAlign w:val="superscript"/>
          <w:rtl w:val="0"/>
        </w:rPr>
        <w:t xml:space="preserve">82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innovation of the MASTER framework is its "Market-Guided Gating" mechanism, which replicates the adaptive reasoning of a human portfolio manager.</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The architecture mathematically aggregates the current market index price alongside the distributional properties (Z-score normalized return ratios) of all available equities to generate a unified market status vector, denoted as </w:t>
      </w:r>
      <w:r w:rsidDel="00000000" w:rsidR="00000000" w:rsidRPr="00000000">
        <w:rPr>
          <w:rFonts w:ascii="Google Sans" w:cs="Google Sans" w:eastAsia="Google Sans" w:hAnsi="Google Sans"/>
          <w:color w:val="1f1f1f"/>
        </w:rPr>
        <w:drawing>
          <wp:inline distB="19050" distT="19050" distL="19050" distR="19050">
            <wp:extent cx="241994" cy="232314"/>
            <wp:effectExtent b="0" l="0" r="0" t="0"/>
            <wp:docPr id="8"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41994" cy="2323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This status vector produces scaling coefficients </w:t>
      </w:r>
      <w:r w:rsidDel="00000000" w:rsidR="00000000" w:rsidRPr="00000000">
        <w:rPr>
          <w:rFonts w:ascii="Google Sans" w:cs="Google Sans" w:eastAsia="Google Sans" w:hAnsi="Google Sans"/>
          <w:color w:val="1f1f1f"/>
        </w:rPr>
        <w:drawing>
          <wp:inline distB="19050" distT="19050" distL="19050" distR="19050">
            <wp:extent cx="504081" cy="228263"/>
            <wp:effectExtent b="0" l="0" r="0" t="0"/>
            <wp:docPr id="9"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04081" cy="228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perform automatic feature selection across the entire dataset. Utilizing the Hadamard product for feature rescaling (</w:t>
      </w:r>
      <w:r w:rsidDel="00000000" w:rsidR="00000000" w:rsidRPr="00000000">
        <w:rPr>
          <w:rFonts w:ascii="Google Sans" w:cs="Google Sans" w:eastAsia="Google Sans" w:hAnsi="Google Sans"/>
          <w:color w:val="1f1f1f"/>
        </w:rPr>
        <w:drawing>
          <wp:inline distB="19050" distT="19050" distL="19050" distR="19050">
            <wp:extent cx="1466698" cy="228576"/>
            <wp:effectExtent b="0" l="0" r="0" t="0"/>
            <wp:docPr id="10"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466698" cy="2285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gating mechanism dynamically amplifies the signal of specific features (e.g., moving averages or volatility indices) when the market enters a highly volatile regime, and suppresses them when the market is ranging.</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By alternating seamlessly between intra-stock temporal aggregation (understanding an asset's history) and inter-stock spatial aggregation (understanding how an asset relates to its peers), MASTER explicitly models how liquidity flows between equities, significantly outperforming isolated LSTM or standard Transformer baselines in both absolute profitability and directional accuracy.</w:t>
      </w:r>
      <w:r w:rsidDel="00000000" w:rsidR="00000000" w:rsidRPr="00000000">
        <w:rPr>
          <w:rFonts w:ascii="Google Sans" w:cs="Google Sans" w:eastAsia="Google Sans" w:hAnsi="Google Sans"/>
          <w:color w:val="444746"/>
          <w:sz w:val="24"/>
          <w:szCs w:val="24"/>
          <w:vertAlign w:val="superscript"/>
          <w:rtl w:val="0"/>
        </w:rPr>
        <w:t xml:space="preserve">82</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 Neural Networks for Systemic Contagion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Financial markets are intrinsically and densely networked; an economic shock in one sector rapidly propagates through supply chains and institutional portfolios. To predict systemic risk and cross-market contagion accurately, theoretical forecasting has increasingly turned to Graph Neural Networks (GNNs), which explicitly model financial assets as nodes and their complex interactions as connecting edges.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SAMBA framework represents a state-of-the-art approach to long-term financial forecasting by fusing graph topologies with continuous-state sequence modeling. Standard transformer attention mechanisms suffer from quadratic computational complexity, making them unsuitable for processing ultra-long historical sequences. SAMBA resolves this by utilizing bidirectional "Mamba" blocks, which capture long-term historical dependencies in historical price data in near-linear time.</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To handle spatial relationships, SAMBA employs an Adaptive Graph Convolutional (AGC) block.</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rtl w:val="0"/>
        </w:rPr>
        <w:t xml:space="preserve"> The AGC block learns the dynamic dependencies between daily stock features end-to-end via graph spectral filtering, successfully capturing both temporal sequences and relational spillover patterns simultaneously, making it highly effective for real-time trading analysis.</w:t>
      </w:r>
      <w:r w:rsidDel="00000000" w:rsidR="00000000" w:rsidRPr="00000000">
        <w:rPr>
          <w:rFonts w:ascii="Google Sans" w:cs="Google Sans" w:eastAsia="Google Sans" w:hAnsi="Google Sans"/>
          <w:color w:val="444746"/>
          <w:sz w:val="24"/>
          <w:szCs w:val="24"/>
          <w:vertAlign w:val="superscript"/>
          <w:rtl w:val="0"/>
        </w:rPr>
        <w:t xml:space="preserve">87</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traditional GNNs—including early adaptive models—often rely on predetermined, fixed graph topologies, such as static correlation thresholds or industry sector classifications. These fixed topologies fail catastrophically during regime shifts, as the correlation structures of financial markets alter fundamentally depending on the nature of the crisis (e.g., a credit contagion behaves entirely differently than an inflation-driven selloff).</w:t>
      </w:r>
      <w:r w:rsidDel="00000000" w:rsidR="00000000" w:rsidRPr="00000000">
        <w:rPr>
          <w:rFonts w:ascii="Google Sans" w:cs="Google Sans" w:eastAsia="Google Sans" w:hAnsi="Google Sans"/>
          <w:color w:val="444746"/>
          <w:sz w:val="24"/>
          <w:szCs w:val="24"/>
          <w:vertAlign w:val="superscript"/>
          <w:rtl w:val="0"/>
        </w:rPr>
        <w:t xml:space="preserve">89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CRISP (Crisis-Resilient Investment through Spatio-temporal Patterns) architecture addresses this vulnerability by entirely discarding fixed topologies. CRISP utilizes advanced multi-head Graph Attention Networks to dynamically learn sparse correlation structures in real-time. By deploying self-attention mechanisms, the model actively filters out approximately 92.5% of market connections as irrelevant noise, preserving only the critical, crisis-relevant dependencies required for accurate regime-specific predictions.</w:t>
      </w:r>
      <w:r w:rsidDel="00000000" w:rsidR="00000000" w:rsidRPr="00000000">
        <w:rPr>
          <w:rFonts w:ascii="Google Sans" w:cs="Google Sans" w:eastAsia="Google Sans" w:hAnsi="Google Sans"/>
          <w:color w:val="444746"/>
          <w:sz w:val="24"/>
          <w:szCs w:val="24"/>
          <w:vertAlign w:val="superscript"/>
          <w:rtl w:val="0"/>
        </w:rPr>
        <w:t xml:space="preserve">90</w:t>
      </w:r>
      <w:r w:rsidDel="00000000" w:rsidR="00000000" w:rsidRPr="00000000">
        <w:rPr>
          <w:rFonts w:ascii="Google Sans" w:cs="Google Sans" w:eastAsia="Google Sans" w:hAnsi="Google Sans"/>
          <w:color w:val="1f1f1f"/>
          <w:rtl w:val="0"/>
        </w:rPr>
        <w:t xml:space="preserve"> Empirical testing demonstrates exceptional zero-shot generalization capabilities: when trained exclusively on data from credit crunches and pandemic shocks (2005–2021), CRISP maintained immense profitability during the fundamentally different inflation-driven regime of 2022–2024. The model achieved this by organically strengthening its attention weights on defensive asset clusters during the downturn—an emergent behavior derived purely from learning to forecast spatial-temporal patterns, rather than relying on hardcoded human assumptions.</w:t>
      </w:r>
      <w:r w:rsidDel="00000000" w:rsidR="00000000" w:rsidRPr="00000000">
        <w:rPr>
          <w:rFonts w:ascii="Google Sans" w:cs="Google Sans" w:eastAsia="Google Sans" w:hAnsi="Google Sans"/>
          <w:color w:val="444746"/>
          <w:sz w:val="24"/>
          <w:szCs w:val="24"/>
          <w:vertAlign w:val="superscript"/>
          <w:rtl w:val="0"/>
        </w:rPr>
        <w:t xml:space="preserve">90</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Agent-Based Modeling and Market Simulation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epistemological limitation of deep learning, econometrics, and graph models is their fundamental reliance on historical data. By definition, these models cannot accurately predict or evaluate the impact of unprecedented "black swan" events or entirely novel trading algorithms that have no historical precedent. Agent-Based Modeling (ABM) bypasses this limitation by abandoning macroscopic equations entirely, instead simulating the financial market from the bottom up.</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classical macroeconomics, which assumes a rational representative agent existing in a state of equilibrium, ABMs program thousands of individual, heterogeneous agents—such as high-frequency market makers, retail momentum traders, fundamental value investors, and institutional whales.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Each agent is programmed with bounded rationality, imperfect information, and unique decision-making algorithms.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these agents interact, gather information, and execute trades within the simulated environment, macroscopic stylized facts—including volatility clustering, heavy-tailed return distributions, and sudden flash crashes—emerge organically as a result of their complex interactions, rather than being forced into the model via mathematical parameters.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High-fidelity simulators like ABIDES (Agent-Based Interactive Discrete Event Simulation) provide the infrastructure for this advanced forecasting methodology. ABIDES recreates exact exchange microstructures, supporting thousands of agents while calculating pairwise network latencies, computation times, and enforcing simulation physics by maintaining the precise order-matching mechanics of the NASDAQ ITCH and OUCH trading protocols.</w:t>
      </w:r>
      <w:r w:rsidDel="00000000" w:rsidR="00000000" w:rsidRPr="00000000">
        <w:rPr>
          <w:rFonts w:ascii="Google Sans" w:cs="Google Sans" w:eastAsia="Google Sans" w:hAnsi="Google Sans"/>
          <w:color w:val="444746"/>
          <w:sz w:val="24"/>
          <w:szCs w:val="24"/>
          <w:vertAlign w:val="superscript"/>
          <w:rtl w:val="0"/>
        </w:rPr>
        <w:t xml:space="preserve">94</w:t>
      </w:r>
      <w:r w:rsidDel="00000000" w:rsidR="00000000" w:rsidRPr="00000000">
        <w:rPr>
          <w:rFonts w:ascii="Google Sans" w:cs="Google Sans" w:eastAsia="Google Sans" w:hAnsi="Google Sans"/>
          <w:color w:val="1f1f1f"/>
          <w:rtl w:val="0"/>
        </w:rPr>
        <w:t xml:space="preserve"> The integration of Multi-Agent Reinforcement Learning (MARL) within these simulators allows agents to dynamically adapt their strategies against one another in real-time.</w:t>
      </w:r>
      <w:r w:rsidDel="00000000" w:rsidR="00000000" w:rsidRPr="00000000">
        <w:rPr>
          <w:rFonts w:ascii="Google Sans" w:cs="Google Sans" w:eastAsia="Google Sans" w:hAnsi="Google Sans"/>
          <w:color w:val="444746"/>
          <w:sz w:val="24"/>
          <w:szCs w:val="24"/>
          <w:vertAlign w:val="superscript"/>
          <w:rtl w:val="0"/>
        </w:rPr>
        <w:t xml:space="preserve">94</w:t>
      </w:r>
      <w:r w:rsidDel="00000000" w:rsidR="00000000" w:rsidRPr="00000000">
        <w:rPr>
          <w:rFonts w:ascii="Google Sans" w:cs="Google Sans" w:eastAsia="Google Sans" w:hAnsi="Google Sans"/>
          <w:color w:val="1f1f1f"/>
          <w:rtl w:val="0"/>
        </w:rPr>
        <w:t xml:space="preserve"> By testing new predictive models within ABIDES rather than against static historical data, researchers can conduct rigorous counterfactual analysis, evaluating not only the profitability of a strategy but also its "market impact"—how the execution of the algorithm shifts market liquidity and how adversarial agents adapt to exploit it.</w:t>
      </w:r>
      <w:r w:rsidDel="00000000" w:rsidR="00000000" w:rsidRPr="00000000">
        <w:rPr>
          <w:rFonts w:ascii="Google Sans" w:cs="Google Sans" w:eastAsia="Google Sans" w:hAnsi="Google Sans"/>
          <w:color w:val="444746"/>
          <w:sz w:val="24"/>
          <w:szCs w:val="24"/>
          <w:vertAlign w:val="superscript"/>
          <w:rtl w:val="0"/>
        </w:rPr>
        <w:t xml:space="preserve">94</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the primary barrier to ABM deployment has been the immense computational cost of parameter calibration—identifying the exact mix of agent behaviors required to match real-world historical distributions. However, recent breakthroughs utilizing Surrogate-Assisted Evolutionary Algorithms (SAEAs) have mitigated this bottleneck. Innovations such as ANTR (Automatic posterior transformation with Negatively Correlated Search and Adaptive Trust-Region) replace traditional surrogates with pretrainable neural density estimators.</w:t>
      </w:r>
      <w:r w:rsidDel="00000000" w:rsidR="00000000" w:rsidRPr="00000000">
        <w:rPr>
          <w:rFonts w:ascii="Google Sans" w:cs="Google Sans" w:eastAsia="Google Sans" w:hAnsi="Google Sans"/>
          <w:color w:val="444746"/>
          <w:sz w:val="24"/>
          <w:szCs w:val="24"/>
          <w:vertAlign w:val="superscript"/>
          <w:rtl w:val="0"/>
        </w:rPr>
        <w:t xml:space="preserve">98</w:t>
      </w:r>
      <w:r w:rsidDel="00000000" w:rsidR="00000000" w:rsidRPr="00000000">
        <w:rPr>
          <w:rFonts w:ascii="Google Sans" w:cs="Google Sans" w:eastAsia="Google Sans" w:hAnsi="Google Sans"/>
          <w:color w:val="1f1f1f"/>
          <w:rtl w:val="0"/>
        </w:rPr>
        <w:t xml:space="preserve"> These estimators directly model the posterior distribution of parameters given observed data, allowing researchers to rapidly calibrate complex ABM simulators to match current market conditions without requiring exhaustive, computationally prohibitive simulation runs.</w:t>
      </w:r>
      <w:r w:rsidDel="00000000" w:rsidR="00000000" w:rsidRPr="00000000">
        <w:rPr>
          <w:rFonts w:ascii="Google Sans" w:cs="Google Sans" w:eastAsia="Google Sans" w:hAnsi="Google Sans"/>
          <w:color w:val="444746"/>
          <w:sz w:val="24"/>
          <w:szCs w:val="24"/>
          <w:vertAlign w:val="superscript"/>
          <w:rtl w:val="0"/>
        </w:rPr>
        <w:t xml:space="preserve">98</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Strategic Integration for Applied Project Development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theoretical methodologies explored in this report provide a comprehensive, multi-disciplinary toolkit that far exceeds the capabilities of traditional financial econometrics. Transitioning from theoretical exploration to practical, applied forecasting requires synthesizing these discrete methodologies into a cohesive quantitative pipeline for our project. By embedding the rigorous principles of physics, chaos, and fractional calculus into modern graph-transformer architectures, we can construct a predictive engine that is structurally resilient to the non-linear realities of global markets.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Advanced Feature Engineering via Physics and Chaos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quantitative models rely on feeding raw pricing data, simple moving averages, and linear technical oscillators into machine learning algorithms. Our project must discard these simplistic indicators in favor of engineering features derived directly from the exact sciences: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Regime Classification via Hurst:</w:t>
      </w:r>
      <w:r w:rsidDel="00000000" w:rsidR="00000000" w:rsidRPr="00000000">
        <w:rPr>
          <w:rFonts w:ascii="Google Sans" w:cs="Google Sans" w:eastAsia="Google Sans" w:hAnsi="Google Sans"/>
          <w:color w:val="1f1f1f"/>
          <w:rtl w:val="0"/>
        </w:rPr>
        <w:t xml:space="preserve"> Implement a rolling-window rescaled range analysis to calculate the Hurst exponent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real-time. By continuously tracking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2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model can explicitly classify the immediate market regime as trending (</w:t>
      </w:r>
      <w:r w:rsidDel="00000000" w:rsidR="00000000" w:rsidRPr="00000000">
        <w:rPr>
          <w:rFonts w:ascii="Google Sans" w:cs="Google Sans" w:eastAsia="Google Sans" w:hAnsi="Google Sans"/>
          <w:color w:val="1f1f1f"/>
        </w:rPr>
        <w:drawing>
          <wp:inline distB="19050" distT="19050" distL="19050" distR="19050">
            <wp:extent cx="649784" cy="229336"/>
            <wp:effectExtent b="0" l="0" r="0" t="0"/>
            <wp:docPr id="2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649784" cy="229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mean-reverting (</w:t>
      </w:r>
      <w:r w:rsidDel="00000000" w:rsidR="00000000" w:rsidRPr="00000000">
        <w:rPr>
          <w:rFonts w:ascii="Google Sans" w:cs="Google Sans" w:eastAsia="Google Sans" w:hAnsi="Google Sans"/>
          <w:color w:val="1f1f1f"/>
        </w:rPr>
        <w:drawing>
          <wp:inline distB="19050" distT="19050" distL="19050" distR="19050">
            <wp:extent cx="649784" cy="229336"/>
            <wp:effectExtent b="0" l="0" r="0" t="0"/>
            <wp:docPr id="2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649784" cy="229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single engineered feature will dictate the baseline operational mode and risk allocation of the subsequent execution logic, preventing the deployment of momentum strategies in oscillating markets.</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Topological Phase Space Coordinates:</w:t>
      </w:r>
      <w:r w:rsidDel="00000000" w:rsidR="00000000" w:rsidRPr="00000000">
        <w:rPr>
          <w:rFonts w:ascii="Google Sans" w:cs="Google Sans" w:eastAsia="Google Sans" w:hAnsi="Google Sans"/>
          <w:color w:val="1f1f1f"/>
          <w:rtl w:val="0"/>
        </w:rPr>
        <w:t xml:space="preserve"> Rather than feeding simple lagged variables into the neural network, we will apply Takens' embedding theorem. By calculating the optimal time delay (</w:t>
      </w:r>
      <w:r w:rsidDel="00000000" w:rsidR="00000000" w:rsidRPr="00000000">
        <w:rPr>
          <w:rFonts w:ascii="Google Sans" w:cs="Google Sans" w:eastAsia="Google Sans" w:hAnsi="Google Sans"/>
          <w:color w:val="1f1f1f"/>
        </w:rPr>
        <w:drawing>
          <wp:inline distB="19050" distT="19050" distL="19050" distR="19050">
            <wp:extent cx="101500" cy="221455"/>
            <wp:effectExtent b="0" l="0" r="0" t="0"/>
            <wp:docPr id="2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0150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via Average Mutual Information and the embedding dimension (</w:t>
      </w:r>
      <w:r w:rsidDel="00000000" w:rsidR="00000000" w:rsidRPr="00000000">
        <w:rPr>
          <w:rFonts w:ascii="Google Sans" w:cs="Google Sans" w:eastAsia="Google Sans" w:hAnsi="Google Sans"/>
          <w:color w:val="1f1f1f"/>
        </w:rPr>
        <w:drawing>
          <wp:inline distB="19050" distT="19050" distL="19050" distR="19050">
            <wp:extent cx="161925" cy="228600"/>
            <wp:effectExtent b="0" l="0" r="0" t="0"/>
            <wp:docPr id="30"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6192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via Cao's method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we will extract the multi-dimensional coordinates of the market's reconstructed strange attractor. Feeding these topological coordinates into the model provides a geometric representation of chaotic market behavior entirely invisible to standard 1D time-series architectures.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Thermodynamic LOB Indicators:</w:t>
      </w:r>
      <w:r w:rsidDel="00000000" w:rsidR="00000000" w:rsidRPr="00000000">
        <w:rPr>
          <w:rFonts w:ascii="Google Sans" w:cs="Google Sans" w:eastAsia="Google Sans" w:hAnsi="Google Sans"/>
          <w:color w:val="1f1f1f"/>
          <w:rtl w:val="0"/>
        </w:rPr>
        <w:t xml:space="preserve"> Utilizing high-frequency tick-level data, the pipeline will continuously compute Market Temperature (derived from LOB kinetic energy) and Market Entropy.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 sudden drop in information entropy, combined with abnormal temperature stability, will be engineered as a definitive early-warning signal for instantaneous volatility spikes and impending systemic liquidity crunches.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Core Forecasting Engine: Graph-Mamba and Market-Guided Gating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Recurrent Neural Networks and vanilla LSTMs lack the spatial awareness and sequence capacity required for this project. The core predictive engine must be a bespoke hybrid architecture heavily inspired by the SAMBA and MASTER frameworks.</w:t>
      </w:r>
      <w:r w:rsidDel="00000000" w:rsidR="00000000" w:rsidRPr="00000000">
        <w:rPr>
          <w:rFonts w:ascii="Google Sans" w:cs="Google Sans" w:eastAsia="Google Sans" w:hAnsi="Google Sans"/>
          <w:color w:val="444746"/>
          <w:sz w:val="24"/>
          <w:szCs w:val="24"/>
          <w:vertAlign w:val="superscript"/>
          <w:rtl w:val="0"/>
        </w:rPr>
        <w:t xml:space="preserve">82</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Spatial-Temporal Processing:</w:t>
      </w:r>
      <w:r w:rsidDel="00000000" w:rsidR="00000000" w:rsidRPr="00000000">
        <w:rPr>
          <w:rFonts w:ascii="Google Sans" w:cs="Google Sans" w:eastAsia="Google Sans" w:hAnsi="Google Sans"/>
          <w:color w:val="1f1f1f"/>
          <w:rtl w:val="0"/>
        </w:rPr>
        <w:t xml:space="preserve"> The architecture will utilize bidirectional continuous-state sequence modeling (Mamba blocks) to process vast historical lookback windows with linear computational complexity, entirely bypassing the quadratic bottlenecks of standard transformers.</w:t>
      </w:r>
      <w:r w:rsidDel="00000000" w:rsidR="00000000" w:rsidRPr="00000000">
        <w:rPr>
          <w:rFonts w:ascii="Google Sans" w:cs="Google Sans" w:eastAsia="Google Sans" w:hAnsi="Google Sans"/>
          <w:color w:val="444746"/>
          <w:sz w:val="24"/>
          <w:szCs w:val="24"/>
          <w:vertAlign w:val="superscript"/>
          <w:rtl w:val="0"/>
        </w:rPr>
        <w:t xml:space="preserve">86</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Cross-Asset Contagion Mapping:</w:t>
      </w:r>
      <w:r w:rsidDel="00000000" w:rsidR="00000000" w:rsidRPr="00000000">
        <w:rPr>
          <w:rFonts w:ascii="Google Sans" w:cs="Google Sans" w:eastAsia="Google Sans" w:hAnsi="Google Sans"/>
          <w:color w:val="1f1f1f"/>
          <w:rtl w:val="0"/>
        </w:rPr>
        <w:t xml:space="preserve"> To process spatial relationships, the model will implement an Adaptive Graph Convolutional (AGC) network mapping the dependencies between different assets and macroeconomic indicators.</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rtl w:val="0"/>
        </w:rPr>
        <w:t xml:space="preserve"> Mimicking the CRISP model, this graph must utilize multi-head attention mechanisms to dynamically prune edges—ignoring 90% of market noise—and aggressively re-weight connection edges during identified market shocks, ensuring resilience across differing crisis regimes.</w:t>
      </w:r>
      <w:r w:rsidDel="00000000" w:rsidR="00000000" w:rsidRPr="00000000">
        <w:rPr>
          <w:rFonts w:ascii="Google Sans" w:cs="Google Sans" w:eastAsia="Google Sans" w:hAnsi="Google Sans"/>
          <w:color w:val="444746"/>
          <w:sz w:val="24"/>
          <w:szCs w:val="24"/>
          <w:vertAlign w:val="superscript"/>
          <w:rtl w:val="0"/>
        </w:rPr>
        <w:t xml:space="preserve">90</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Market-Guided Gating:</w:t>
      </w:r>
      <w:r w:rsidDel="00000000" w:rsidR="00000000" w:rsidRPr="00000000">
        <w:rPr>
          <w:rFonts w:ascii="Google Sans" w:cs="Google Sans" w:eastAsia="Google Sans" w:hAnsi="Google Sans"/>
          <w:color w:val="1f1f1f"/>
          <w:rtl w:val="0"/>
        </w:rPr>
        <w:t xml:space="preserve"> We will introduce a macroeconomic routing mechanism at the attention layer. The model will continuously calculate a market status vector (</w:t>
      </w:r>
      <w:r w:rsidDel="00000000" w:rsidR="00000000" w:rsidRPr="00000000">
        <w:rPr>
          <w:rFonts w:ascii="Google Sans" w:cs="Google Sans" w:eastAsia="Google Sans" w:hAnsi="Google Sans"/>
          <w:color w:val="1f1f1f"/>
        </w:rPr>
        <w:drawing>
          <wp:inline distB="19050" distT="19050" distL="19050" distR="19050">
            <wp:extent cx="241994" cy="232314"/>
            <wp:effectExtent b="0" l="0" r="0" t="0"/>
            <wp:docPr id="3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41994" cy="2323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based on broader index behavior and rough volatility estimates.</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This vector will gate the influence of specific input features—for example, amplifying the mathematical weight of the phase-space coordinates during high-volatility regimes and relying heavily on fundamental graph connections during stable, ranging regimes.</w:t>
      </w:r>
      <w:r w:rsidDel="00000000" w:rsidR="00000000" w:rsidRPr="00000000">
        <w:rPr>
          <w:rFonts w:ascii="Google Sans" w:cs="Google Sans" w:eastAsia="Google Sans" w:hAnsi="Google Sans"/>
          <w:color w:val="444746"/>
          <w:sz w:val="24"/>
          <w:szCs w:val="24"/>
          <w:vertAlign w:val="superscript"/>
          <w:rtl w:val="0"/>
        </w:rPr>
        <w:t xml:space="preserve">84</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Optimization via Quantum-Inspired Algorithms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Hyperparameter optimization for a neural architecture combining Mamba blocks, AGC, and dynamic gating is computationally exorbitant using standard grid or random search. Our project will implement Quantum-behaved Particle Swarm Optimization (QPSO).</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By mathematically mimicking the principles of quantum tunneling and superposition, QPSO allows the optimization landscape to escape local minima far more efficiently than classical gradient descent variants, rapidly optimizing the learning rates, attention weights, and gating thresholds of our highly complex predictive engine.</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Backtesting and Validation via Agent-Based Simulation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failure point in modern algorithmic development is relying solely on static historical backtesting, which cannot account for the market impact of the algorithm's own trades or the adversarial adaptation of competitors. Instead of a traditional backtest, our project will deploy the validated predictive model directly into an Agent-Based Interactive Discrete Event Simulator (ABIDES).</w:t>
      </w:r>
      <w:r w:rsidDel="00000000" w:rsidR="00000000" w:rsidRPr="00000000">
        <w:rPr>
          <w:rFonts w:ascii="Google Sans" w:cs="Google Sans" w:eastAsia="Google Sans" w:hAnsi="Google Sans"/>
          <w:color w:val="444746"/>
          <w:sz w:val="24"/>
          <w:szCs w:val="24"/>
          <w:vertAlign w:val="superscript"/>
          <w:rtl w:val="0"/>
        </w:rPr>
        <w:t xml:space="preserve">94</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By calibrating the simulator's background agents using surrogate-assisted neural density estimators (ANTR) to match current empirical market conditions, we can inject our predictive model into a highly realistic, live ecosystem.</w:t>
      </w:r>
      <w:r w:rsidDel="00000000" w:rsidR="00000000" w:rsidRPr="00000000">
        <w:rPr>
          <w:rFonts w:ascii="Google Sans" w:cs="Google Sans" w:eastAsia="Google Sans" w:hAnsi="Google Sans"/>
          <w:color w:val="444746"/>
          <w:sz w:val="24"/>
          <w:szCs w:val="24"/>
          <w:vertAlign w:val="superscript"/>
          <w:rtl w:val="0"/>
        </w:rPr>
        <w:t xml:space="preserve">97</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This deployment will allow us to observe exactly how institutional "whale" agents, high-frequency market makers, and retail momentum agents react to our model's specific execution logic.</w:t>
      </w:r>
      <w:r w:rsidDel="00000000" w:rsidR="00000000" w:rsidRPr="00000000">
        <w:rPr>
          <w:rFonts w:ascii="Google Sans" w:cs="Google Sans" w:eastAsia="Google Sans" w:hAnsi="Google Sans"/>
          <w:color w:val="444746"/>
          <w:sz w:val="24"/>
          <w:szCs w:val="24"/>
          <w:vertAlign w:val="superscript"/>
          <w:rtl w:val="0"/>
        </w:rPr>
        <w:t xml:space="preserve">94</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ABM environment will rigorously test the strategy's operational resilience against adversarial spoofing, latency arbitrage, and flash crash scenarios generated endogenously by the multi-agent system, ensuring robust performance prior to live capital deployment.</w:t>
      </w:r>
      <w:r w:rsidDel="00000000" w:rsidR="00000000" w:rsidRPr="00000000">
        <w:rPr>
          <w:rFonts w:ascii="Google Sans" w:cs="Google Sans" w:eastAsia="Google Sans" w:hAnsi="Google Sans"/>
          <w:color w:val="444746"/>
          <w:sz w:val="24"/>
          <w:szCs w:val="24"/>
          <w:vertAlign w:val="superscript"/>
          <w:rtl w:val="0"/>
        </w:rPr>
        <w:t xml:space="preserve">92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methodically synthesizing rough volatility metrics, topological phase space features, quantum-inspired optimization, graph-based spatial-temporal neural architectures, and agent-based simulation environments, our project will establish a highly adaptive, state-of-the-art financial forecasting engine. This synthesis fundamentally bridges the theoretical rigor of the exact sciences with the highly demanding practical deployment requirements of modern quantitative trading.</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Economic Windows | springerprofessional.de, accessed March 17, 2026, </w:t>
      </w:r>
      <w:hyperlink r:id="rId31">
        <w:r w:rsidDel="00000000" w:rsidR="00000000" w:rsidRPr="00000000">
          <w:rPr>
            <w:rFonts w:ascii="Google Sans" w:cs="Google Sans" w:eastAsia="Google Sans" w:hAnsi="Google Sans"/>
            <w:color w:val="0000ee"/>
            <w:sz w:val="24"/>
            <w:szCs w:val="24"/>
            <w:u w:val="single"/>
            <w:rtl w:val="0"/>
          </w:rPr>
          <w:t xml:space="preserve">https://www.springerprofessional.de/new-economic-windows/1424942</w:t>
        </w:r>
      </w:hyperlink>
      <w:r w:rsidDel="00000000" w:rsidR="00000000" w:rsidRPr="00000000">
        <w:rPr>
          <w:rtl w:val="0"/>
        </w:rPr>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vs. Classical Machine Learning: A Benchmark Study for Financial Prediction, accessed March 17, 2026, </w:t>
      </w:r>
      <w:hyperlink r:id="rId32">
        <w:r w:rsidDel="00000000" w:rsidR="00000000" w:rsidRPr="00000000">
          <w:rPr>
            <w:rFonts w:ascii="Google Sans" w:cs="Google Sans" w:eastAsia="Google Sans" w:hAnsi="Google Sans"/>
            <w:color w:val="0000ee"/>
            <w:sz w:val="24"/>
            <w:szCs w:val="24"/>
            <w:u w:val="single"/>
            <w:rtl w:val="0"/>
          </w:rPr>
          <w:t xml:space="preserve">https://arxiv.org/html/2601.03802v1</w:t>
        </w:r>
      </w:hyperlink>
      <w:r w:rsidDel="00000000" w:rsidR="00000000" w:rsidRPr="00000000">
        <w:rPr>
          <w:rtl w:val="0"/>
        </w:rPr>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Based Modelling Comes of Age | Oxford Martin School, accessed March 17, 2026, </w:t>
      </w:r>
      <w:hyperlink r:id="rId33">
        <w:r w:rsidDel="00000000" w:rsidR="00000000" w:rsidRPr="00000000">
          <w:rPr>
            <w:rFonts w:ascii="Google Sans" w:cs="Google Sans" w:eastAsia="Google Sans" w:hAnsi="Google Sans"/>
            <w:color w:val="0000ee"/>
            <w:sz w:val="24"/>
            <w:szCs w:val="24"/>
            <w:u w:val="single"/>
            <w:rtl w:val="0"/>
          </w:rPr>
          <w:t xml:space="preserve">https://www.oxfordmartin.ox.ac.uk/news/agent-based-modelling-comes-of-age</w:t>
        </w:r>
      </w:hyperlink>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 analysis and applications of financial network data in the era of digital intelligence - AIMS Press, accessed March 17, 2026, </w:t>
      </w:r>
      <w:hyperlink r:id="rId34">
        <w:r w:rsidDel="00000000" w:rsidR="00000000" w:rsidRPr="00000000">
          <w:rPr>
            <w:rFonts w:ascii="Google Sans" w:cs="Google Sans" w:eastAsia="Google Sans" w:hAnsi="Google Sans"/>
            <w:color w:val="0000ee"/>
            <w:sz w:val="24"/>
            <w:szCs w:val="24"/>
            <w:u w:val="single"/>
            <w:rtl w:val="0"/>
          </w:rPr>
          <w:t xml:space="preserve">https://aimspress.com/aimspress-data/dsfe/2025/4/PDF/DSFE-05-04-021.pdf</w:t>
        </w:r>
      </w:hyperlink>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Complexity: A Bibliometric Analysis of Agent-Based Modeling in Finance and Banking - MDPI, accessed March 17, 2026, </w:t>
      </w:r>
      <w:hyperlink r:id="rId35">
        <w:r w:rsidDel="00000000" w:rsidR="00000000" w:rsidRPr="00000000">
          <w:rPr>
            <w:rFonts w:ascii="Google Sans" w:cs="Google Sans" w:eastAsia="Google Sans" w:hAnsi="Google Sans"/>
            <w:color w:val="0000ee"/>
            <w:sz w:val="24"/>
            <w:szCs w:val="24"/>
            <w:u w:val="single"/>
            <w:rtl w:val="0"/>
          </w:rPr>
          <w:t xml:space="preserve">https://www.mdpi.com/2227-7072/13/2/65</w:t>
        </w:r>
      </w:hyperlink>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Stanford AI Experts Predict What Will Happen in 2026, accessed March 17, 2026, </w:t>
      </w:r>
      <w:hyperlink r:id="rId36">
        <w:r w:rsidDel="00000000" w:rsidR="00000000" w:rsidRPr="00000000">
          <w:rPr>
            <w:rFonts w:ascii="Google Sans" w:cs="Google Sans" w:eastAsia="Google Sans" w:hAnsi="Google Sans"/>
            <w:color w:val="0000ee"/>
            <w:sz w:val="24"/>
            <w:szCs w:val="24"/>
            <w:u w:val="single"/>
            <w:rtl w:val="0"/>
          </w:rPr>
          <w:t xml:space="preserve">https://hai.stanford.edu/news/stanford-ai-experts-predict-what-will-happen-in-2026</w:t>
        </w:r>
      </w:hyperlink>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Econophysics Techniques and Their Applications on the Stock Market - MDPI, accessed March 17, 2026, </w:t>
      </w:r>
      <w:hyperlink r:id="rId37">
        <w:r w:rsidDel="00000000" w:rsidR="00000000" w:rsidRPr="00000000">
          <w:rPr>
            <w:rFonts w:ascii="Google Sans" w:cs="Google Sans" w:eastAsia="Google Sans" w:hAnsi="Google Sans"/>
            <w:color w:val="0000ee"/>
            <w:sz w:val="24"/>
            <w:szCs w:val="24"/>
            <w:u w:val="single"/>
            <w:rtl w:val="0"/>
          </w:rPr>
          <w:t xml:space="preserve">https://www.mdpi.com/2227-7390/10/6/860</w:t>
        </w:r>
      </w:hyperlink>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Financial Performance Among Traditional Quantitative,AI-Based, and Hybrid Modeling Approaches.pdf, accessed March 17, 2026, </w:t>
      </w:r>
      <w:hyperlink r:id="rId38">
        <w:r w:rsidDel="00000000" w:rsidR="00000000" w:rsidRPr="00000000">
          <w:rPr>
            <w:rFonts w:ascii="Google Sans" w:cs="Google Sans" w:eastAsia="Google Sans" w:hAnsi="Google Sans"/>
            <w:color w:val="0000ee"/>
            <w:sz w:val="24"/>
            <w:szCs w:val="24"/>
            <w:u w:val="single"/>
            <w:rtl w:val="0"/>
          </w:rPr>
          <w:t xml:space="preserve">https://aurora.auburn.edu/bitstream/handle/11200/50711/Comparative%20Analysis%20of%20Financial%20Performance%20Among%20Traditional%20Quantitative,AI-Based,%20and%20Hybrid%20Modeling%20Approaches.pdf?sequence=1</w:t>
        </w:r>
      </w:hyperlink>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Symmetry-Aware Graph Neural Approaches for Data-Efficient Return Prediction in International Financial Market Indices - MDPI, accessed March 17, 2026, </w:t>
      </w:r>
      <w:hyperlink r:id="rId39">
        <w:r w:rsidDel="00000000" w:rsidR="00000000" w:rsidRPr="00000000">
          <w:rPr>
            <w:rFonts w:ascii="Google Sans" w:cs="Google Sans" w:eastAsia="Google Sans" w:hAnsi="Google Sans"/>
            <w:color w:val="0000ee"/>
            <w:sz w:val="24"/>
            <w:szCs w:val="24"/>
            <w:u w:val="single"/>
            <w:rtl w:val="0"/>
          </w:rPr>
          <w:t xml:space="preserve">https://www.mdpi.com/2073-8994/17/9/1372</w:t>
        </w:r>
      </w:hyperlink>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forecasting techniques: Traditional versus machine learning methods, accessed March 17, 2026, </w:t>
      </w:r>
      <w:hyperlink r:id="rId40">
        <w:r w:rsidDel="00000000" w:rsidR="00000000" w:rsidRPr="00000000">
          <w:rPr>
            <w:rFonts w:ascii="Google Sans" w:cs="Google Sans" w:eastAsia="Google Sans" w:hAnsi="Google Sans"/>
            <w:color w:val="0000ee"/>
            <w:sz w:val="24"/>
            <w:szCs w:val="24"/>
            <w:u w:val="single"/>
            <w:rtl w:val="0"/>
          </w:rPr>
          <w:t xml:space="preserve">https://www.genpact.com/insight/the-evolution-of-forecasting-techniques-traditional-versus-machine-learning-methods</w:t>
        </w:r>
      </w:hyperlink>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Forecasting Inflation Applying ARIMA Model with GARCH Innovation: The Case of Pakistan | Journal of Accounting and Finance in Emerging Economies - CSRC Publishing, accessed March 17, 2026, </w:t>
      </w:r>
      <w:hyperlink r:id="rId41">
        <w:r w:rsidDel="00000000" w:rsidR="00000000" w:rsidRPr="00000000">
          <w:rPr>
            <w:rFonts w:ascii="Google Sans" w:cs="Google Sans" w:eastAsia="Google Sans" w:hAnsi="Google Sans"/>
            <w:color w:val="0000ee"/>
            <w:sz w:val="24"/>
            <w:szCs w:val="24"/>
            <w:u w:val="single"/>
            <w:rtl w:val="0"/>
          </w:rPr>
          <w:t xml:space="preserve">https://publishing.globalcsrc.org/ojs/index.php/jafee/article/view/1681</w:t>
        </w:r>
      </w:hyperlink>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【Application】TQuant Lab ARIMA-GARCH Strategy: Using Time Series Models for Stock Prediction and… - Medium, accessed March 17, 2026, </w:t>
      </w:r>
      <w:hyperlink r:id="rId42">
        <w:r w:rsidDel="00000000" w:rsidR="00000000" w:rsidRPr="00000000">
          <w:rPr>
            <w:rFonts w:ascii="Google Sans" w:cs="Google Sans" w:eastAsia="Google Sans" w:hAnsi="Google Sans"/>
            <w:color w:val="0000ee"/>
            <w:sz w:val="24"/>
            <w:szCs w:val="24"/>
            <w:u w:val="single"/>
            <w:rtl w:val="0"/>
          </w:rPr>
          <w:t xml:space="preserve">https://medium.com/tej-api-financial-data-anlaysis/application-tquant-lab-arima-garch-strategy-using-time-series-models-for-stock-prediction-and-cc7be6380ded</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Comparative Forecasting of Financial Time Series Using ARIMA, GARCH, Random Forest, and XGBoost Models - ResearchGate, accessed March 17, 2026,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https://www.researchgate.net/publication/396579345_Comparative_Forecasting_of_Financial_Time_Series_Using_ARIMA_GARCH_Random_Forest_and_XGBoost_Models</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Guide To Financial Forecasting - Pigment, accessed March 17, 2026, </w:t>
      </w:r>
      <w:hyperlink r:id="rId44">
        <w:r w:rsidDel="00000000" w:rsidR="00000000" w:rsidRPr="00000000">
          <w:rPr>
            <w:rFonts w:ascii="Google Sans" w:cs="Google Sans" w:eastAsia="Google Sans" w:hAnsi="Google Sans"/>
            <w:color w:val="0000ee"/>
            <w:sz w:val="24"/>
            <w:szCs w:val="24"/>
            <w:u w:val="single"/>
            <w:rtl w:val="0"/>
          </w:rPr>
          <w:t xml:space="preserve">https://www.pigment.com/blog/comprehensive-guide-to-financial-forecasting-methods</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Types of Financial Forecasting Models - Workday Blog, accessed March 17, 2026, </w:t>
      </w:r>
      <w:hyperlink r:id="rId45">
        <w:r w:rsidDel="00000000" w:rsidR="00000000" w:rsidRPr="00000000">
          <w:rPr>
            <w:rFonts w:ascii="Google Sans" w:cs="Google Sans" w:eastAsia="Google Sans" w:hAnsi="Google Sans"/>
            <w:color w:val="0000ee"/>
            <w:sz w:val="24"/>
            <w:szCs w:val="24"/>
            <w:u w:val="single"/>
            <w:rtl w:val="0"/>
          </w:rPr>
          <w:t xml:space="preserve">https://blog.workday.com/en-us/top-7-types-financial-forecasting-models.html</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AI-Driven Financial Forecasting: A Systematic Review of Current Status and Critical Research Gaps - MDPI, accessed March 17, 2026, </w:t>
      </w:r>
      <w:hyperlink r:id="rId46">
        <w:r w:rsidDel="00000000" w:rsidR="00000000" w:rsidRPr="00000000">
          <w:rPr>
            <w:rFonts w:ascii="Google Sans" w:cs="Google Sans" w:eastAsia="Google Sans" w:hAnsi="Google Sans"/>
            <w:color w:val="0000ee"/>
            <w:sz w:val="24"/>
            <w:szCs w:val="24"/>
            <w:u w:val="single"/>
            <w:rtl w:val="0"/>
          </w:rPr>
          <w:t xml:space="preserve">https://www.mdpi.com/2571-9394/7/3/36</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Implied Volatility and GARCH(1,1) - UTUPub, accessed March 17, 2026, </w:t>
      </w:r>
      <w:hyperlink r:id="rId47">
        <w:r w:rsidDel="00000000" w:rsidR="00000000" w:rsidRPr="00000000">
          <w:rPr>
            <w:rFonts w:ascii="Google Sans" w:cs="Google Sans" w:eastAsia="Google Sans" w:hAnsi="Google Sans"/>
            <w:color w:val="0000ee"/>
            <w:sz w:val="24"/>
            <w:szCs w:val="24"/>
            <w:u w:val="single"/>
            <w:rtl w:val="0"/>
          </w:rPr>
          <w:t xml:space="preserve">https://www.utupub.fi/bitstream/handle/10024/177413/Bachelors%2520thesis%252C%2520Anton%2520Salonen%2520%252825.4.2024%2529.pdf?sequence=1&amp;isAllowed=y</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Forecasting Financial Volatility Under Structural Breaks: A Comparative Study of GARCH Models and Deep Learning Techniques - MDPI, accessed March 17, 2026, </w:t>
      </w:r>
      <w:hyperlink r:id="rId48">
        <w:r w:rsidDel="00000000" w:rsidR="00000000" w:rsidRPr="00000000">
          <w:rPr>
            <w:rFonts w:ascii="Google Sans" w:cs="Google Sans" w:eastAsia="Google Sans" w:hAnsi="Google Sans"/>
            <w:color w:val="0000ee"/>
            <w:sz w:val="24"/>
            <w:szCs w:val="24"/>
            <w:u w:val="single"/>
            <w:rtl w:val="0"/>
          </w:rPr>
          <w:t xml:space="preserve">https://www.mdpi.com/1911-8074/18/9/494</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Momentum vs Mean Reversion Strategies for Challenges | For Traders, accessed March 17, 2026, </w:t>
      </w:r>
      <w:hyperlink r:id="rId49">
        <w:r w:rsidDel="00000000" w:rsidR="00000000" w:rsidRPr="00000000">
          <w:rPr>
            <w:rFonts w:ascii="Google Sans" w:cs="Google Sans" w:eastAsia="Google Sans" w:hAnsi="Google Sans"/>
            <w:color w:val="0000ee"/>
            <w:sz w:val="24"/>
            <w:szCs w:val="24"/>
            <w:u w:val="single"/>
            <w:rtl w:val="0"/>
          </w:rPr>
          <w:t xml:space="preserve">https://www.fortraders.com/blog/momentum-vs-mean-reversion-strategies-for-challenges</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Mean Reversion vs Momentum Forex Strategies Guide - LiteFinance, accessed March 17, 2026, </w:t>
      </w:r>
      <w:hyperlink r:id="rId50">
        <w:r w:rsidDel="00000000" w:rsidR="00000000" w:rsidRPr="00000000">
          <w:rPr>
            <w:rFonts w:ascii="Google Sans" w:cs="Google Sans" w:eastAsia="Google Sans" w:hAnsi="Google Sans"/>
            <w:color w:val="0000ee"/>
            <w:sz w:val="24"/>
            <w:szCs w:val="24"/>
            <w:u w:val="single"/>
            <w:rtl w:val="0"/>
          </w:rPr>
          <w:t xml:space="preserve">https://www.litefinance.org/blog/for-beginners/trading-strategies/mean-reversion-vs-momentum-strategies/</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Hurst Exponent shows that 95% of the time in the market is mean reverting? - Reddit, accessed March 17, 2026, </w:t>
      </w:r>
      <w:hyperlink r:id="rId51">
        <w:r w:rsidDel="00000000" w:rsidR="00000000" w:rsidRPr="00000000">
          <w:rPr>
            <w:rFonts w:ascii="Google Sans" w:cs="Google Sans" w:eastAsia="Google Sans" w:hAnsi="Google Sans"/>
            <w:color w:val="0000ee"/>
            <w:sz w:val="24"/>
            <w:szCs w:val="24"/>
            <w:u w:val="single"/>
            <w:rtl w:val="0"/>
          </w:rPr>
          <w:t xml:space="preserve">https://www.reddit.com/r/algotrading/comments/1hr77sy/hurst_exponent_shows_that_95_of_the_time_in_the/</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Types of Trading Strategies: Momentum, Mean Reversion, and Style Differences Explained by Prodipta Ghosh - QuantInsti, accessed March 17, 2026, </w:t>
      </w:r>
      <w:hyperlink r:id="rId52">
        <w:r w:rsidDel="00000000" w:rsidR="00000000" w:rsidRPr="00000000">
          <w:rPr>
            <w:rFonts w:ascii="Google Sans" w:cs="Google Sans" w:eastAsia="Google Sans" w:hAnsi="Google Sans"/>
            <w:color w:val="0000ee"/>
            <w:sz w:val="24"/>
            <w:szCs w:val="24"/>
            <w:u w:val="single"/>
            <w:rtl w:val="0"/>
          </w:rPr>
          <w:t xml:space="preserve">https://www.quantinsti.com/articles/types-trading-strategies/</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Econophysics - Wikipedia, accessed March 17, 2026, </w:t>
      </w:r>
      <w:hyperlink r:id="rId53">
        <w:r w:rsidDel="00000000" w:rsidR="00000000" w:rsidRPr="00000000">
          <w:rPr>
            <w:rFonts w:ascii="Google Sans" w:cs="Google Sans" w:eastAsia="Google Sans" w:hAnsi="Google Sans"/>
            <w:color w:val="0000ee"/>
            <w:sz w:val="24"/>
            <w:szCs w:val="24"/>
            <w:u w:val="single"/>
            <w:rtl w:val="0"/>
          </w:rPr>
          <w:t xml:space="preserve">https://en.wikipedia.org/wiki/Econophysics</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Novel Market Temperature Definition Through Fluctuation Theorem: A Statistical Physics Framework for Financial Crisis Prediction - arXiv, accessed March 17, 2026, </w:t>
      </w:r>
      <w:hyperlink r:id="rId54">
        <w:r w:rsidDel="00000000" w:rsidR="00000000" w:rsidRPr="00000000">
          <w:rPr>
            <w:rFonts w:ascii="Google Sans" w:cs="Google Sans" w:eastAsia="Google Sans" w:hAnsi="Google Sans"/>
            <w:color w:val="0000ee"/>
            <w:sz w:val="24"/>
            <w:szCs w:val="24"/>
            <w:u w:val="single"/>
            <w:rtl w:val="0"/>
          </w:rPr>
          <w:t xml:space="preserve">https://arxiv.org/html/2509.23692v1</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Bridging Physics and Finance: Applications of Quantum Mechanics Concepts in Economic Forecasting and Policy Analysis - ResearchGate, accessed March 17,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https://www.researchgate.net/publication/399528956_Bridging_Physics_and_Finance_Applications_of_Quantum_Mechanics_Concepts_in_Economic_Forecasting_and_Policy_Analysis</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Theoretical Models to Financial Innovation - e-Repositori, accessed March 17, 2026, </w:t>
      </w:r>
      <w:hyperlink r:id="rId56">
        <w:r w:rsidDel="00000000" w:rsidR="00000000" w:rsidRPr="00000000">
          <w:rPr>
            <w:rFonts w:ascii="Google Sans" w:cs="Google Sans" w:eastAsia="Google Sans" w:hAnsi="Google Sans"/>
            <w:color w:val="0000ee"/>
            <w:sz w:val="24"/>
            <w:szCs w:val="24"/>
            <w:u w:val="single"/>
            <w:rtl w:val="0"/>
          </w:rPr>
          <w:t xml:space="preserve">https://repositori.upf.edu/bitstreams/bb66dc80-e2f3-4c76-a3bf-fab18fecb265/download</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 Issue : Entropy, Econophysics, and Complexity - MDPI, accessed March 17, 2026, </w:t>
      </w:r>
      <w:hyperlink r:id="rId57">
        <w:r w:rsidDel="00000000" w:rsidR="00000000" w:rsidRPr="00000000">
          <w:rPr>
            <w:rFonts w:ascii="Google Sans" w:cs="Google Sans" w:eastAsia="Google Sans" w:hAnsi="Google Sans"/>
            <w:color w:val="0000ee"/>
            <w:sz w:val="24"/>
            <w:szCs w:val="24"/>
            <w:u w:val="single"/>
            <w:rtl w:val="0"/>
          </w:rPr>
          <w:t xml:space="preserve">https://www.mdpi.com/journal/entropy/special_issues/97V2U1SX3C</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Econophysics and the Entropic Foundations of Economics - MDPI, accessed March 17, 2026, </w:t>
      </w:r>
      <w:hyperlink r:id="rId58">
        <w:r w:rsidDel="00000000" w:rsidR="00000000" w:rsidRPr="00000000">
          <w:rPr>
            <w:rFonts w:ascii="Google Sans" w:cs="Google Sans" w:eastAsia="Google Sans" w:hAnsi="Google Sans"/>
            <w:color w:val="0000ee"/>
            <w:sz w:val="24"/>
            <w:szCs w:val="24"/>
            <w:u w:val="single"/>
            <w:rtl w:val="0"/>
          </w:rPr>
          <w:t xml:space="preserve">https://www.mdpi.com/1099-4300/23/10/1286</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Econophysics and the Entropic Foundations of Economics - PMC, accessed March 17, 2026, </w:t>
      </w:r>
      <w:hyperlink r:id="rId59">
        <w:r w:rsidDel="00000000" w:rsidR="00000000" w:rsidRPr="00000000">
          <w:rPr>
            <w:rFonts w:ascii="Google Sans" w:cs="Google Sans" w:eastAsia="Google Sans" w:hAnsi="Google Sans"/>
            <w:color w:val="0000ee"/>
            <w:sz w:val="24"/>
            <w:szCs w:val="24"/>
            <w:u w:val="single"/>
            <w:rtl w:val="0"/>
          </w:rPr>
          <w:t xml:space="preserve">https://pmc.ncbi.nlm.nih.gov/articles/PMC8534577/</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Entropy and Measures of Market Risk - MDPI, accessed March 17, 2026, </w:t>
      </w:r>
      <w:hyperlink r:id="rId60">
        <w:r w:rsidDel="00000000" w:rsidR="00000000" w:rsidRPr="00000000">
          <w:rPr>
            <w:rFonts w:ascii="Google Sans" w:cs="Google Sans" w:eastAsia="Google Sans" w:hAnsi="Google Sans"/>
            <w:color w:val="0000ee"/>
            <w:sz w:val="24"/>
            <w:szCs w:val="24"/>
            <w:u w:val="single"/>
            <w:rtl w:val="0"/>
          </w:rPr>
          <w:t xml:space="preserve">https://www.mdpi.com/1099-4300/19/5/226</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Entropy-Based Behavioural Efficiency of the Financial Market - PMC, accessed March 17, 2026, </w:t>
      </w:r>
      <w:hyperlink r:id="rId61">
        <w:r w:rsidDel="00000000" w:rsidR="00000000" w:rsidRPr="00000000">
          <w:rPr>
            <w:rFonts w:ascii="Google Sans" w:cs="Google Sans" w:eastAsia="Google Sans" w:hAnsi="Google Sans"/>
            <w:color w:val="0000ee"/>
            <w:sz w:val="24"/>
            <w:szCs w:val="24"/>
            <w:u w:val="single"/>
            <w:rtl w:val="0"/>
          </w:rPr>
          <w:t xml:space="preserve">https://pmc.ncbi.nlm.nih.gov/articles/PMC8621921/</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Thermodynamic Analysis of Financial Markets: Measuring Order Book Dynamics with Temperature and Entropy - MDPI, accessed March 17, 2026, </w:t>
      </w:r>
      <w:hyperlink r:id="rId62">
        <w:r w:rsidDel="00000000" w:rsidR="00000000" w:rsidRPr="00000000">
          <w:rPr>
            <w:rFonts w:ascii="Google Sans" w:cs="Google Sans" w:eastAsia="Google Sans" w:hAnsi="Google Sans"/>
            <w:color w:val="0000ee"/>
            <w:sz w:val="24"/>
            <w:szCs w:val="24"/>
            <w:u w:val="single"/>
            <w:rtl w:val="0"/>
          </w:rPr>
          <w:t xml:space="preserve">https://www.mdpi.com/1099-4300/26/1/24</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Thermodynamic Analysis of Financial Markets: Measuring Order Book Dynamics with Temperature and Entropy - PMC, accessed March 17, 2026, </w:t>
      </w:r>
      <w:hyperlink r:id="rId63">
        <w:r w:rsidDel="00000000" w:rsidR="00000000" w:rsidRPr="00000000">
          <w:rPr>
            <w:rFonts w:ascii="Google Sans" w:cs="Google Sans" w:eastAsia="Google Sans" w:hAnsi="Google Sans"/>
            <w:color w:val="0000ee"/>
            <w:sz w:val="24"/>
            <w:szCs w:val="24"/>
            <w:u w:val="single"/>
            <w:rtl w:val="0"/>
          </w:rPr>
          <w:t xml:space="preserve">https://pmc.ncbi.nlm.nih.gov/articles/PMC10813935/</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Generation of synthetic financial time series by diffusion models, accessed March 17, 2026, </w:t>
      </w:r>
      <w:hyperlink r:id="rId64">
        <w:r w:rsidDel="00000000" w:rsidR="00000000" w:rsidRPr="00000000">
          <w:rPr>
            <w:rFonts w:ascii="Google Sans" w:cs="Google Sans" w:eastAsia="Google Sans" w:hAnsi="Google Sans"/>
            <w:color w:val="0000ee"/>
            <w:sz w:val="24"/>
            <w:szCs w:val="24"/>
            <w:u w:val="single"/>
            <w:rtl w:val="0"/>
          </w:rPr>
          <w:t xml:space="preserve">https://www.tandfonline.com/doi/full/10.1080/14697688.2025.2528697</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 Theory and Financial Markets: A Systematic Review of Crisis and Bubbles - DergiPark, accessed March 17, 2026, </w:t>
      </w:r>
      <w:hyperlink r:id="rId65">
        <w:r w:rsidDel="00000000" w:rsidR="00000000" w:rsidRPr="00000000">
          <w:rPr>
            <w:rFonts w:ascii="Google Sans" w:cs="Google Sans" w:eastAsia="Google Sans" w:hAnsi="Google Sans"/>
            <w:color w:val="0000ee"/>
            <w:sz w:val="24"/>
            <w:szCs w:val="24"/>
            <w:u w:val="single"/>
            <w:rtl w:val="0"/>
          </w:rPr>
          <w:t xml:space="preserve">https://dergipark.org.tr/en/pub/chaos/issue/90440/1634673</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 Issue : Chaos Theory and Its Applications to Economic Dynamics - MDPI, accessed March 17, 2026, </w:t>
      </w:r>
      <w:hyperlink r:id="rId66">
        <w:r w:rsidDel="00000000" w:rsidR="00000000" w:rsidRPr="00000000">
          <w:rPr>
            <w:rFonts w:ascii="Google Sans" w:cs="Google Sans" w:eastAsia="Google Sans" w:hAnsi="Google Sans"/>
            <w:color w:val="0000ee"/>
            <w:sz w:val="24"/>
            <w:szCs w:val="24"/>
            <w:u w:val="single"/>
            <w:rtl w:val="0"/>
          </w:rPr>
          <w:t xml:space="preserve">https://www.mdpi.com/si/mathematics/chaos_theory_its_applications_economic_dynamics</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Identification of Chaos in Financial Time Series to Forecast Nonperforming Loan, accessed March 17, 2026, </w:t>
      </w:r>
      <w:hyperlink r:id="rId67">
        <w:r w:rsidDel="00000000" w:rsidR="00000000" w:rsidRPr="00000000">
          <w:rPr>
            <w:rFonts w:ascii="Google Sans" w:cs="Google Sans" w:eastAsia="Google Sans" w:hAnsi="Google Sans"/>
            <w:color w:val="0000ee"/>
            <w:sz w:val="24"/>
            <w:szCs w:val="24"/>
            <w:u w:val="single"/>
            <w:rtl w:val="0"/>
          </w:rPr>
          <w:t xml:space="preserve">https://www.semanticscholar.org/paper/Identification-of-Chaos-in-Financial-Time-Series-to-Ahmadi-Aghababa/844a9c27c995e5c3593a4a66d1d00faf42a7d202</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Method for Determining the Embedding Dimension of Financial Time Series Based on Manhattan Distance and Recurrence Quantification Analysis - PMC, accessed March 17, 2026,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https://pmc.ncbi.nlm.nih.gov/articles/PMC9497821/</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Selection of Embedding Dimension and Delay Time in Phase Space Reconstruction via Symbolic Dynamics - MDPI, accessed March 17, 2026, </w:t>
      </w:r>
      <w:hyperlink r:id="rId69">
        <w:r w:rsidDel="00000000" w:rsidR="00000000" w:rsidRPr="00000000">
          <w:rPr>
            <w:rFonts w:ascii="Google Sans" w:cs="Google Sans" w:eastAsia="Google Sans" w:hAnsi="Google Sans"/>
            <w:color w:val="0000ee"/>
            <w:sz w:val="24"/>
            <w:szCs w:val="24"/>
            <w:u w:val="single"/>
            <w:rtl w:val="0"/>
          </w:rPr>
          <w:t xml:space="preserve">https://www.mdpi.com/1099-4300/23/2/221</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on the parameters determination for reconstructing phase-space in chaos time series, accessed March 17, 2026, </w:t>
      </w:r>
      <w:hyperlink r:id="rId70">
        <w:r w:rsidDel="00000000" w:rsidR="00000000" w:rsidRPr="00000000">
          <w:rPr>
            <w:rFonts w:ascii="Google Sans" w:cs="Google Sans" w:eastAsia="Google Sans" w:hAnsi="Google Sans"/>
            <w:color w:val="0000ee"/>
            <w:sz w:val="24"/>
            <w:szCs w:val="24"/>
            <w:u w:val="single"/>
            <w:rtl w:val="0"/>
          </w:rPr>
          <w:t xml:space="preserve">https://www.researchgate.net/publication/267668767_Study_on_the_parameters_determination_for_reconstructing_phase-space_in_chaos_time_series</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on Methods for Determining Phase Space Reconstruction Parameters, accessed March 17, 2026, </w:t>
      </w:r>
      <w:hyperlink r:id="rId71">
        <w:r w:rsidDel="00000000" w:rsidR="00000000" w:rsidRPr="00000000">
          <w:rPr>
            <w:rFonts w:ascii="Google Sans" w:cs="Google Sans" w:eastAsia="Google Sans" w:hAnsi="Google Sans"/>
            <w:color w:val="0000ee"/>
            <w:sz w:val="24"/>
            <w:szCs w:val="24"/>
            <w:u w:val="single"/>
            <w:rtl w:val="0"/>
          </w:rPr>
          <w:t xml:space="preserve">https://asmedigitalcollection.asme.org/computationalnonlinear/article/17/1/011006/1121755/A-Study-on-Methods-for-Determining-Phase-Space</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model of stock market based on Chaos Theory - E3S Web of Conferences, accessed March 17, 2026, </w:t>
      </w:r>
      <w:hyperlink r:id="rId72">
        <w:r w:rsidDel="00000000" w:rsidR="00000000" w:rsidRPr="00000000">
          <w:rPr>
            <w:rFonts w:ascii="Google Sans" w:cs="Google Sans" w:eastAsia="Google Sans" w:hAnsi="Google Sans"/>
            <w:color w:val="0000ee"/>
            <w:sz w:val="24"/>
            <w:szCs w:val="24"/>
            <w:u w:val="single"/>
            <w:rtl w:val="0"/>
          </w:rPr>
          <w:t xml:space="preserve">https://www.e3s-conferences.org/articles/e3sconf/pdf/2021/51/e3sconf_eilcd2021_01013.pdf</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Chaos-Markov-Gaussian Framework for Short-Term Sentiment Forecasting of Any Financial OHLC timeseries Data - arXiv, accessed March 17, 2026, </w:t>
      </w:r>
      <w:hyperlink r:id="rId73">
        <w:r w:rsidDel="00000000" w:rsidR="00000000" w:rsidRPr="00000000">
          <w:rPr>
            <w:rFonts w:ascii="Google Sans" w:cs="Google Sans" w:eastAsia="Google Sans" w:hAnsi="Google Sans"/>
            <w:color w:val="0000ee"/>
            <w:sz w:val="24"/>
            <w:szCs w:val="24"/>
            <w:u w:val="single"/>
            <w:rtl w:val="0"/>
          </w:rPr>
          <w:t xml:space="preserve">https://arxiv.org/html/2506.17244v1</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Synergy of chaos theory and artificial neural networks in chaotic time series forecasting, accessed March 17, 2026, </w:t>
      </w:r>
      <w:hyperlink r:id="rId74">
        <w:r w:rsidDel="00000000" w:rsidR="00000000" w:rsidRPr="00000000">
          <w:rPr>
            <w:rFonts w:ascii="Google Sans" w:cs="Google Sans" w:eastAsia="Google Sans" w:hAnsi="Google Sans"/>
            <w:color w:val="0000ee"/>
            <w:sz w:val="24"/>
            <w:szCs w:val="24"/>
            <w:u w:val="single"/>
            <w:rtl w:val="0"/>
          </w:rPr>
          <w:t xml:space="preserve">https://www.researchgate.net/publication/227441063_Synergy_of_chaos_theory_and_artificial_neural_networks_in_chaotic_time_series_forecasting</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Time Series Prediction using Hybrids of Chaos Theory, Multi-Layer Perceptron and Multi-objective Evolutionary Algorithms - ResearchGate, accessed March 17, 2026,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https://www.researchgate.net/publication/317031914_Financial_Time_Series_Prediction_using_Hybrids_of_Chaos_Theory_Multi-Layer_Perceptron_and_Multi-objective_Evolutionary_Algorithms</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 theory in trading (Part 2): Diving deeper - MQL5 Articles, accessed March 17, 2026, </w:t>
      </w:r>
      <w:hyperlink r:id="rId76">
        <w:r w:rsidDel="00000000" w:rsidR="00000000" w:rsidRPr="00000000">
          <w:rPr>
            <w:rFonts w:ascii="Google Sans" w:cs="Google Sans" w:eastAsia="Google Sans" w:hAnsi="Google Sans"/>
            <w:color w:val="0000ee"/>
            <w:sz w:val="24"/>
            <w:szCs w:val="24"/>
            <w:u w:val="single"/>
            <w:rtl w:val="0"/>
          </w:rPr>
          <w:t xml:space="preserve">https://www.mql5.com/en/articles/15445</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trends and mean reversion with the Hurst exponent | Macrosynergy, accessed March 17, 2026, </w:t>
      </w:r>
      <w:hyperlink r:id="rId77">
        <w:r w:rsidDel="00000000" w:rsidR="00000000" w:rsidRPr="00000000">
          <w:rPr>
            <w:rFonts w:ascii="Google Sans" w:cs="Google Sans" w:eastAsia="Google Sans" w:hAnsi="Google Sans"/>
            <w:color w:val="0000ee"/>
            <w:sz w:val="24"/>
            <w:szCs w:val="24"/>
            <w:u w:val="single"/>
            <w:rtl w:val="0"/>
          </w:rPr>
          <w:t xml:space="preserve">https://macrosynergy.com/research/detecting-trends-and-mean-reversion-with-the-hurst-exponent/</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the Hurst exponent - with code in Python - Towards Data Science, accessed March 17, 2026, </w:t>
      </w:r>
      <w:hyperlink r:id="rId78">
        <w:r w:rsidDel="00000000" w:rsidR="00000000" w:rsidRPr="00000000">
          <w:rPr>
            <w:rFonts w:ascii="Google Sans" w:cs="Google Sans" w:eastAsia="Google Sans" w:hAnsi="Google Sans"/>
            <w:color w:val="0000ee"/>
            <w:sz w:val="24"/>
            <w:szCs w:val="24"/>
            <w:u w:val="single"/>
            <w:rtl w:val="0"/>
          </w:rPr>
          <w:t xml:space="preserve">https://towardsdatascience.com/introduction-to-the-hurst-exponent-with-code-in-python-4da0414ca52e/</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Returns Using the Hurst Exponent and Q Learning on Momentum and Mean Reversion Strategies - IDEAS/RePEc, accessed March 17, 2026, </w:t>
      </w:r>
      <w:hyperlink r:id="rId79">
        <w:r w:rsidDel="00000000" w:rsidR="00000000" w:rsidRPr="00000000">
          <w:rPr>
            <w:rFonts w:ascii="Google Sans" w:cs="Google Sans" w:eastAsia="Google Sans" w:hAnsi="Google Sans"/>
            <w:color w:val="0000ee"/>
            <w:sz w:val="24"/>
            <w:szCs w:val="24"/>
            <w:u w:val="single"/>
            <w:rtl w:val="0"/>
          </w:rPr>
          <w:t xml:space="preserve">https://ideas.repec.org/p/arx/papers/2205.11122.html</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17, 2026, </w:t>
      </w:r>
      <w:hyperlink r:id="rId80">
        <w:r w:rsidDel="00000000" w:rsidR="00000000" w:rsidRPr="00000000">
          <w:rPr>
            <w:rFonts w:ascii="Google Sans" w:cs="Google Sans" w:eastAsia="Google Sans" w:hAnsi="Google Sans"/>
            <w:color w:val="0000ee"/>
            <w:sz w:val="24"/>
            <w:szCs w:val="24"/>
            <w:u w:val="single"/>
            <w:rtl w:val="0"/>
          </w:rPr>
          <w:t xml:space="preserve">https://www.scirp.org/journal/paperinformation?paperid=59468#:~:text=%E3%83%BB%20The%20Schrodinger%20equation%20demands%20a,Schrodinger%20equation%20for%20imaginary%20time.</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On the Interconnectedness of Schrodinger and Black-Scholes Equation, accessed March 17, 2026, </w:t>
      </w:r>
      <w:hyperlink r:id="rId81">
        <w:r w:rsidDel="00000000" w:rsidR="00000000" w:rsidRPr="00000000">
          <w:rPr>
            <w:rFonts w:ascii="Google Sans" w:cs="Google Sans" w:eastAsia="Google Sans" w:hAnsi="Google Sans"/>
            <w:color w:val="0000ee"/>
            <w:sz w:val="24"/>
            <w:szCs w:val="24"/>
            <w:u w:val="single"/>
            <w:rtl w:val="0"/>
          </w:rPr>
          <w:t xml:space="preserve">https://www.researchgate.net/publication/282518156_On_the_Interconnectedness_of_Schrodinger_and_Black-Scholes_Equation</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Interconnectedness of Schrodinger and Black-Scholes Equation - Scirp.org., accessed March 17, 2026, </w:t>
      </w:r>
      <w:hyperlink r:id="rId82">
        <w:r w:rsidDel="00000000" w:rsidR="00000000" w:rsidRPr="00000000">
          <w:rPr>
            <w:rFonts w:ascii="Google Sans" w:cs="Google Sans" w:eastAsia="Google Sans" w:hAnsi="Google Sans"/>
            <w:color w:val="0000ee"/>
            <w:sz w:val="24"/>
            <w:szCs w:val="24"/>
            <w:u w:val="single"/>
            <w:rtl w:val="0"/>
          </w:rPr>
          <w:t xml:space="preserve">https://www.scirp.org/journal/paperinformation?paperid=59468</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arXiv:1304.4995v1 [physics.gen-ph] 18 Apr 2013 Schrödinger group and quantum finance, accessed March 17, 2026, </w:t>
      </w:r>
      <w:hyperlink r:id="rId83">
        <w:r w:rsidDel="00000000" w:rsidR="00000000" w:rsidRPr="00000000">
          <w:rPr>
            <w:rFonts w:ascii="Google Sans" w:cs="Google Sans" w:eastAsia="Google Sans" w:hAnsi="Google Sans"/>
            <w:color w:val="0000ee"/>
            <w:sz w:val="24"/>
            <w:szCs w:val="24"/>
            <w:u w:val="single"/>
            <w:rtl w:val="0"/>
          </w:rPr>
          <w:t xml:space="preserve">https://arxiv.org/pdf/1304.4995</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effects in an expanded Black–Scholes model - PMC, accessed March 17, 2026, </w:t>
      </w:r>
      <w:hyperlink r:id="rId84">
        <w:r w:rsidDel="00000000" w:rsidR="00000000" w:rsidRPr="00000000">
          <w:rPr>
            <w:rFonts w:ascii="Google Sans" w:cs="Google Sans" w:eastAsia="Google Sans" w:hAnsi="Google Sans"/>
            <w:color w:val="0000ee"/>
            <w:sz w:val="24"/>
            <w:szCs w:val="24"/>
            <w:u w:val="single"/>
            <w:rtl w:val="0"/>
          </w:rPr>
          <w:t xml:space="preserve">https://pmc.ncbi.nlm.nih.gov/articles/PMC9419921/</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Path Integral and Asset Pricing - arXiv, accessed March 17, 2026, </w:t>
      </w:r>
      <w:hyperlink r:id="rId85">
        <w:r w:rsidDel="00000000" w:rsidR="00000000" w:rsidRPr="00000000">
          <w:rPr>
            <w:rFonts w:ascii="Google Sans" w:cs="Google Sans" w:eastAsia="Google Sans" w:hAnsi="Google Sans"/>
            <w:color w:val="0000ee"/>
            <w:sz w:val="24"/>
            <w:szCs w:val="24"/>
            <w:u w:val="single"/>
            <w:rtl w:val="0"/>
          </w:rPr>
          <w:t xml:space="preserve">https://arxiv.org/pdf/1410.1611</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Path Integral Approach to Financial Modeling and Options Pricing - IDEAS/RePEc, accessed March 17, 2026, </w:t>
      </w:r>
      <w:hyperlink r:id="rId86">
        <w:r w:rsidDel="00000000" w:rsidR="00000000" w:rsidRPr="00000000">
          <w:rPr>
            <w:rFonts w:ascii="Google Sans" w:cs="Google Sans" w:eastAsia="Google Sans" w:hAnsi="Google Sans"/>
            <w:color w:val="0000ee"/>
            <w:sz w:val="24"/>
            <w:szCs w:val="24"/>
            <w:u w:val="single"/>
            <w:rtl w:val="0"/>
          </w:rPr>
          <w:t xml:space="preserve">https://ideas.repec.org/a/kap/compec/v11y1998i1-2p129-63.html</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Path Integral Approach to Financial Modeling and Options Pricing, accessed March 17, 2026, </w:t>
      </w:r>
      <w:hyperlink r:id="rId87">
        <w:r w:rsidDel="00000000" w:rsidR="00000000" w:rsidRPr="00000000">
          <w:rPr>
            <w:rFonts w:ascii="Google Sans" w:cs="Google Sans" w:eastAsia="Google Sans" w:hAnsi="Google Sans"/>
            <w:color w:val="0000ee"/>
            <w:sz w:val="24"/>
            <w:szCs w:val="24"/>
            <w:u w:val="single"/>
            <w:rtl w:val="0"/>
          </w:rPr>
          <w:t xml:space="preserve">https://deepblue.lib.umich.edu/handle/2027.42/44345</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Study of Classical and Quantum Machine Learning for Large-Scale Financial Forecasting - ResearchGate, accessed March 17, 2026, </w:t>
      </w:r>
      <w:hyperlink r:id="rId88">
        <w:r w:rsidDel="00000000" w:rsidR="00000000" w:rsidRPr="00000000">
          <w:rPr>
            <w:rFonts w:ascii="Google Sans" w:cs="Google Sans" w:eastAsia="Google Sans" w:hAnsi="Google Sans"/>
            <w:color w:val="0000ee"/>
            <w:sz w:val="24"/>
            <w:szCs w:val="24"/>
            <w:u w:val="single"/>
            <w:rtl w:val="0"/>
          </w:rPr>
          <w:t xml:space="preserve">https://www.researchgate.net/publication/395961196_A_Comparative_Study_of_Classical_and_Quantum_Machine_Learning_for_Large-Scale_Financial_Forecasting</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Releases a New Blueprint for Quantum-Centric Supercomputing, accessed March 17, 2026, </w:t>
      </w:r>
      <w:hyperlink r:id="rId89">
        <w:r w:rsidDel="00000000" w:rsidR="00000000" w:rsidRPr="00000000">
          <w:rPr>
            <w:rFonts w:ascii="Google Sans" w:cs="Google Sans" w:eastAsia="Google Sans" w:hAnsi="Google Sans"/>
            <w:color w:val="0000ee"/>
            <w:sz w:val="24"/>
            <w:szCs w:val="24"/>
            <w:u w:val="single"/>
            <w:rtl w:val="0"/>
          </w:rPr>
          <w:t xml:space="preserve">https://newsroom.ibm.com/2026-03-12-ibm-releases-a-new-blueprint-for-quantum-centric-supercomputing</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Developments in Quantum Computing - 2026 Edition - USDSI, accessed March 17, 2026, </w:t>
      </w:r>
      <w:hyperlink r:id="rId90">
        <w:r w:rsidDel="00000000" w:rsidR="00000000" w:rsidRPr="00000000">
          <w:rPr>
            <w:rFonts w:ascii="Google Sans" w:cs="Google Sans" w:eastAsia="Google Sans" w:hAnsi="Google Sans"/>
            <w:color w:val="0000ee"/>
            <w:sz w:val="24"/>
            <w:szCs w:val="24"/>
            <w:u w:val="single"/>
            <w:rtl w:val="0"/>
          </w:rPr>
          <w:t xml:space="preserve">https://www.usdsi.org/data-science-insights/latest-developments-in-quantum-computing-2026-edition</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Classical versus quantum models in machine learning: insights from a finance application - OSTI.GOV, accessed March 17, 2026, </w:t>
      </w:r>
      <w:hyperlink r:id="rId91">
        <w:r w:rsidDel="00000000" w:rsidR="00000000" w:rsidRPr="00000000">
          <w:rPr>
            <w:rFonts w:ascii="Google Sans" w:cs="Google Sans" w:eastAsia="Google Sans" w:hAnsi="Google Sans"/>
            <w:color w:val="0000ee"/>
            <w:sz w:val="24"/>
            <w:szCs w:val="24"/>
            <w:u w:val="single"/>
            <w:rtl w:val="0"/>
          </w:rPr>
          <w:t xml:space="preserve">https://www.osti.gov/servlets/purl/1648867</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Classical-Quantum Generative Algorithms for Financial Modelling and Prediction, accessed March 17, 2026, </w:t>
      </w:r>
      <w:hyperlink r:id="rId92">
        <w:r w:rsidDel="00000000" w:rsidR="00000000" w:rsidRPr="00000000">
          <w:rPr>
            <w:rFonts w:ascii="Google Sans" w:cs="Google Sans" w:eastAsia="Google Sans" w:hAnsi="Google Sans"/>
            <w:color w:val="0000ee"/>
            <w:sz w:val="24"/>
            <w:szCs w:val="24"/>
            <w:u w:val="single"/>
            <w:rtl w:val="0"/>
          </w:rPr>
          <w:t xml:space="preserve">https://ieeexplore.ieee.org/document/10956507/</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load demand forecasting in educational buildings using quantum-inspired particle swarm optimization (QPSO) with recurrent neural networks (RNNs):a seasonal approach - PMC, accessed March 17, 2026, </w:t>
      </w:r>
      <w:hyperlink r:id="rId93">
        <w:r w:rsidDel="00000000" w:rsidR="00000000" w:rsidRPr="00000000">
          <w:rPr>
            <w:rFonts w:ascii="Google Sans" w:cs="Google Sans" w:eastAsia="Google Sans" w:hAnsi="Google Sans"/>
            <w:color w:val="0000ee"/>
            <w:sz w:val="24"/>
            <w:szCs w:val="24"/>
            <w:u w:val="single"/>
            <w:rtl w:val="0"/>
          </w:rPr>
          <w:t xml:space="preserve">https://pmc.ncbi.nlm.nih.gov/articles/PMC12130227/</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Quantum-Inspired Swarm Optimization Algorithm for High-Frequency Stock Trend Forecasting | Request PDF - ResearchGate, accessed March 17, 2026, </w:t>
      </w:r>
      <w:hyperlink r:id="rId94">
        <w:r w:rsidDel="00000000" w:rsidR="00000000" w:rsidRPr="00000000">
          <w:rPr>
            <w:rFonts w:ascii="Google Sans" w:cs="Google Sans" w:eastAsia="Google Sans" w:hAnsi="Google Sans"/>
            <w:color w:val="0000ee"/>
            <w:sz w:val="24"/>
            <w:szCs w:val="24"/>
            <w:u w:val="single"/>
            <w:rtl w:val="0"/>
          </w:rPr>
          <w:t xml:space="preserve">https://www.researchgate.net/publication/398892288_Quantum-Inspired_Swarm_Optimization_Algorithm_for_High-Frequency_Stock_Trend_Forecasting</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Quantum-inspired algorithms in practice, accessed March 17, 2026, </w:t>
      </w:r>
      <w:hyperlink r:id="rId95">
        <w:r w:rsidDel="00000000" w:rsidR="00000000" w:rsidRPr="00000000">
          <w:rPr>
            <w:rFonts w:ascii="Google Sans" w:cs="Google Sans" w:eastAsia="Google Sans" w:hAnsi="Google Sans"/>
            <w:color w:val="0000ee"/>
            <w:sz w:val="24"/>
            <w:szCs w:val="24"/>
            <w:u w:val="single"/>
            <w:rtl w:val="0"/>
          </w:rPr>
          <w:t xml:space="preserve">https://quantum-journal.org/papers/q-2020-08-13-307/</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Rough Volatility Models - Repositori UPF, accessed March 17, 2026, </w:t>
      </w:r>
      <w:hyperlink r:id="rId96">
        <w:r w:rsidDel="00000000" w:rsidR="00000000" w:rsidRPr="00000000">
          <w:rPr>
            <w:rFonts w:ascii="Google Sans" w:cs="Google Sans" w:eastAsia="Google Sans" w:hAnsi="Google Sans"/>
            <w:color w:val="0000ee"/>
            <w:sz w:val="24"/>
            <w:szCs w:val="24"/>
            <w:u w:val="single"/>
            <w:rtl w:val="0"/>
          </w:rPr>
          <w:t xml:space="preserve">https://repositori.upf.edu/bitstreams/e10be315-04d9-422e-af20-5563dd1b3e07/download</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ROUGH VOLATILITY | International Journal of Theoretical and Applied Finance - World Scientific Publishing, accessed March 17, 2026, </w:t>
      </w:r>
      <w:hyperlink r:id="rId97">
        <w:r w:rsidDel="00000000" w:rsidR="00000000" w:rsidRPr="00000000">
          <w:rPr>
            <w:rFonts w:ascii="Google Sans" w:cs="Google Sans" w:eastAsia="Google Sans" w:hAnsi="Google Sans"/>
            <w:color w:val="0000ee"/>
            <w:sz w:val="24"/>
            <w:szCs w:val="24"/>
            <w:u w:val="single"/>
            <w:rtl w:val="0"/>
          </w:rPr>
          <w:t xml:space="preserve">https://www.worldscientific.com/doi/10.1142/S0219024925300021</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Rough Volatility, accessed March 17, 2026, </w:t>
      </w:r>
      <w:hyperlink r:id="rId98">
        <w:r w:rsidDel="00000000" w:rsidR="00000000" w:rsidRPr="00000000">
          <w:rPr>
            <w:rFonts w:ascii="Google Sans" w:cs="Google Sans" w:eastAsia="Google Sans" w:hAnsi="Google Sans"/>
            <w:color w:val="0000ee"/>
            <w:sz w:val="24"/>
            <w:szCs w:val="24"/>
            <w:u w:val="single"/>
            <w:rtl w:val="0"/>
          </w:rPr>
          <w:t xml:space="preserve">https://www.imes.boj.or.jp/research/papers/english/24-E-06.pdf</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Rough Volatility in Financial Mathematics - SIAM, accessed March 17, 2026, </w:t>
      </w:r>
      <w:hyperlink r:id="rId99">
        <w:r w:rsidDel="00000000" w:rsidR="00000000" w:rsidRPr="00000000">
          <w:rPr>
            <w:rFonts w:ascii="Google Sans" w:cs="Google Sans" w:eastAsia="Google Sans" w:hAnsi="Google Sans"/>
            <w:color w:val="0000ee"/>
            <w:sz w:val="24"/>
            <w:szCs w:val="24"/>
            <w:u w:val="single"/>
            <w:rtl w:val="0"/>
          </w:rPr>
          <w:t xml:space="preserve">https://www.siam.org/publications/siam-news/articles/rough-volatility-in-financial-mathematics/</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Rough volatility: An overview - Baruch MFE Program, accessed March 17, 2026, </w:t>
      </w:r>
      <w:hyperlink r:id="rId100">
        <w:r w:rsidDel="00000000" w:rsidR="00000000" w:rsidRPr="00000000">
          <w:rPr>
            <w:rFonts w:ascii="Google Sans" w:cs="Google Sans" w:eastAsia="Google Sans" w:hAnsi="Google Sans"/>
            <w:color w:val="0000ee"/>
            <w:sz w:val="24"/>
            <w:szCs w:val="24"/>
            <w:u w:val="single"/>
            <w:rtl w:val="0"/>
          </w:rPr>
          <w:t xml:space="preserve">https://mfe.baruch.cuny.edu/wp-content/uploads/2018/02/RoughVolatilityColumbia2018.pdf</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Intuitive Introduction to Fractional and Rough Volatilities - MDPI, accessed March 17, 2026, </w:t>
      </w:r>
      <w:hyperlink r:id="rId101">
        <w:r w:rsidDel="00000000" w:rsidR="00000000" w:rsidRPr="00000000">
          <w:rPr>
            <w:rFonts w:ascii="Google Sans" w:cs="Google Sans" w:eastAsia="Google Sans" w:hAnsi="Google Sans"/>
            <w:color w:val="0000ee"/>
            <w:sz w:val="24"/>
            <w:szCs w:val="24"/>
            <w:u w:val="single"/>
            <w:rtl w:val="0"/>
          </w:rPr>
          <w:t xml:space="preserve">https://www.mdpi.com/2227-7390/9/9/994</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Empirical analysis of rough and classical stochastic volatility models to the SPX and VIX markets - Taylor &amp; Francis, accessed March 17, 2026, </w:t>
      </w:r>
      <w:hyperlink r:id="rId102">
        <w:r w:rsidDel="00000000" w:rsidR="00000000" w:rsidRPr="00000000">
          <w:rPr>
            <w:rFonts w:ascii="Google Sans" w:cs="Google Sans" w:eastAsia="Google Sans" w:hAnsi="Google Sans"/>
            <w:color w:val="0000ee"/>
            <w:sz w:val="24"/>
            <w:szCs w:val="24"/>
            <w:u w:val="single"/>
            <w:rtl w:val="0"/>
          </w:rPr>
          <w:t xml:space="preserve">https://www.tandfonline.com/doi/full/10.1080/14697688.2022.2081592</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premium and rough volatility - arXiv, accessed March 17, 2026, </w:t>
      </w:r>
      <w:hyperlink r:id="rId103">
        <w:r w:rsidDel="00000000" w:rsidR="00000000" w:rsidRPr="00000000">
          <w:rPr>
            <w:rFonts w:ascii="Google Sans" w:cs="Google Sans" w:eastAsia="Google Sans" w:hAnsi="Google Sans"/>
            <w:color w:val="0000ee"/>
            <w:sz w:val="24"/>
            <w:szCs w:val="24"/>
            <w:u w:val="single"/>
            <w:rtl w:val="0"/>
          </w:rPr>
          <w:t xml:space="preserve">https://arxiv.org/html/2403.11897v2</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 Agent in Financial Trading: A Survey - arXiv, accessed March 17, 2026, </w:t>
      </w:r>
      <w:hyperlink r:id="rId104">
        <w:r w:rsidDel="00000000" w:rsidR="00000000" w:rsidRPr="00000000">
          <w:rPr>
            <w:rFonts w:ascii="Google Sans" w:cs="Google Sans" w:eastAsia="Google Sans" w:hAnsi="Google Sans"/>
            <w:color w:val="0000ee"/>
            <w:sz w:val="24"/>
            <w:szCs w:val="24"/>
            <w:u w:val="single"/>
            <w:rtl w:val="0"/>
          </w:rPr>
          <w:t xml:space="preserve">https://arxiv.org/html/2408.06361v2</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in Financial Testing: 2026 Guide to Multimodal &amp; Cross-System Solutions, accessed March 17, 2026, </w:t>
      </w:r>
      <w:hyperlink r:id="rId105">
        <w:r w:rsidDel="00000000" w:rsidR="00000000" w:rsidRPr="00000000">
          <w:rPr>
            <w:rFonts w:ascii="Google Sans" w:cs="Google Sans" w:eastAsia="Google Sans" w:hAnsi="Google Sans"/>
            <w:color w:val="0000ee"/>
            <w:sz w:val="24"/>
            <w:szCs w:val="24"/>
            <w:u w:val="single"/>
            <w:rtl w:val="0"/>
          </w:rPr>
          <w:t xml:space="preserve">https://kr.wetest.net/blog/ai-agents-financial-testing-guide-1181.html</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Foundation Models for Process Model Forecasting - arXiv, accessed March 17, 2026, </w:t>
      </w:r>
      <w:hyperlink r:id="rId106">
        <w:r w:rsidDel="00000000" w:rsidR="00000000" w:rsidRPr="00000000">
          <w:rPr>
            <w:rFonts w:ascii="Google Sans" w:cs="Google Sans" w:eastAsia="Google Sans" w:hAnsi="Google Sans"/>
            <w:color w:val="0000ee"/>
            <w:sz w:val="24"/>
            <w:szCs w:val="24"/>
            <w:u w:val="single"/>
            <w:rtl w:val="0"/>
          </w:rPr>
          <w:t xml:space="preserve">https://arxiv.org/html/2512.07624v1</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foundation models can be few-shot learners - Google Research, accessed March 17, 2026, </w:t>
      </w:r>
      <w:hyperlink r:id="rId107">
        <w:r w:rsidDel="00000000" w:rsidR="00000000" w:rsidRPr="00000000">
          <w:rPr>
            <w:rFonts w:ascii="Google Sans" w:cs="Google Sans" w:eastAsia="Google Sans" w:hAnsi="Google Sans"/>
            <w:color w:val="0000ee"/>
            <w:sz w:val="24"/>
            <w:szCs w:val="24"/>
            <w:u w:val="single"/>
            <w:rtl w:val="0"/>
          </w:rPr>
          <w:t xml:space="preserve">https://research.google/blog/time-series-foundation-models-can-be-few-shot-learners/</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for Time-Series Analysis with Large Language Models, accessed March 17, 2026, </w:t>
      </w:r>
      <w:hyperlink r:id="rId108">
        <w:r w:rsidDel="00000000" w:rsidR="00000000" w:rsidRPr="00000000">
          <w:rPr>
            <w:rFonts w:ascii="Google Sans" w:cs="Google Sans" w:eastAsia="Google Sans" w:hAnsi="Google Sans"/>
            <w:color w:val="0000ee"/>
            <w:sz w:val="24"/>
            <w:szCs w:val="24"/>
            <w:u w:val="single"/>
            <w:rtl w:val="0"/>
          </w:rPr>
          <w:t xml:space="preserve">https://towardsdatascience.com/prompt-engineering-for-time-series-analysis-with-large-language-models/</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Foundation Models for Time Series Analysis: A Tutorial and Survey - arXiv.org, accessed March 17, 2026, </w:t>
      </w:r>
      <w:hyperlink r:id="rId109">
        <w:r w:rsidDel="00000000" w:rsidR="00000000" w:rsidRPr="00000000">
          <w:rPr>
            <w:rFonts w:ascii="Google Sans" w:cs="Google Sans" w:eastAsia="Google Sans" w:hAnsi="Google Sans"/>
            <w:color w:val="0000ee"/>
            <w:sz w:val="24"/>
            <w:szCs w:val="24"/>
            <w:u w:val="single"/>
            <w:rtl w:val="0"/>
          </w:rPr>
          <w:t xml:space="preserve">https://arxiv.org/html/2403.14735v3</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attention to profit: quantitative trading strategy based on transformer - arXiv.org, accessed March 17, 2026, </w:t>
      </w:r>
      <w:hyperlink r:id="rId110">
        <w:r w:rsidDel="00000000" w:rsidR="00000000" w:rsidRPr="00000000">
          <w:rPr>
            <w:rFonts w:ascii="Google Sans" w:cs="Google Sans" w:eastAsia="Google Sans" w:hAnsi="Google Sans"/>
            <w:color w:val="0000ee"/>
            <w:sz w:val="24"/>
            <w:szCs w:val="24"/>
            <w:u w:val="single"/>
            <w:rtl w:val="0"/>
          </w:rPr>
          <w:t xml:space="preserve">https://arxiv.org/html/2404.00424v1</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Patterns to Predictions: A Shapelet-Based Framework for Directional Forecasting in Noisy Financial Markets - arXiv, accessed March 17, 2026, </w:t>
      </w:r>
      <w:hyperlink r:id="rId111">
        <w:r w:rsidDel="00000000" w:rsidR="00000000" w:rsidRPr="00000000">
          <w:rPr>
            <w:rFonts w:ascii="Google Sans" w:cs="Google Sans" w:eastAsia="Google Sans" w:hAnsi="Google Sans"/>
            <w:color w:val="0000ee"/>
            <w:sz w:val="24"/>
            <w:szCs w:val="24"/>
            <w:u w:val="single"/>
            <w:rtl w:val="0"/>
          </w:rPr>
          <w:t xml:space="preserve">https://arxiv.org/html/2509.15040v1</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Market-Guided Stock Transformer for Stock Price Forecasting - ResearchGate, accessed March 17, 2026, </w:t>
      </w:r>
      <w:hyperlink r:id="rId112">
        <w:r w:rsidDel="00000000" w:rsidR="00000000" w:rsidRPr="00000000">
          <w:rPr>
            <w:rFonts w:ascii="Google Sans" w:cs="Google Sans" w:eastAsia="Google Sans" w:hAnsi="Google Sans"/>
            <w:color w:val="0000ee"/>
            <w:sz w:val="24"/>
            <w:szCs w:val="24"/>
            <w:u w:val="single"/>
            <w:rtl w:val="0"/>
          </w:rPr>
          <w:t xml:space="preserve">https://www.researchgate.net/publication/379293856_MASTER_Market-Guided_Stock_Transformer_for_Stock_Price_Forecasting</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Market-Guided Stock Transformer for Stock Price Forecasting - arXiv, accessed March 17, 2026, </w:t>
      </w:r>
      <w:hyperlink r:id="rId113">
        <w:r w:rsidDel="00000000" w:rsidR="00000000" w:rsidRPr="00000000">
          <w:rPr>
            <w:rFonts w:ascii="Google Sans" w:cs="Google Sans" w:eastAsia="Google Sans" w:hAnsi="Google Sans"/>
            <w:color w:val="0000ee"/>
            <w:sz w:val="24"/>
            <w:szCs w:val="24"/>
            <w:u w:val="single"/>
            <w:rtl w:val="0"/>
          </w:rPr>
          <w:t xml:space="preserve">https://arxiv.org/html/2312.15235v1</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Market-Guided Stock Transformer for Stock Price Forecasting - AAAI Publications, accessed March 17, 2026, </w:t>
      </w:r>
      <w:hyperlink r:id="rId114">
        <w:r w:rsidDel="00000000" w:rsidR="00000000" w:rsidRPr="00000000">
          <w:rPr>
            <w:rFonts w:ascii="Google Sans" w:cs="Google Sans" w:eastAsia="Google Sans" w:hAnsi="Google Sans"/>
            <w:color w:val="0000ee"/>
            <w:sz w:val="24"/>
            <w:szCs w:val="24"/>
            <w:u w:val="single"/>
            <w:rtl w:val="0"/>
          </w:rPr>
          <w:t xml:space="preserve">https://ojs.aaai.org/index.php/AAAI/article/view/27767/27575</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SJTU-DMTai/MASTER: This is the official code and supplementary materials for our AAAI-2024 paper: MASTER: Market-Guided Stock Transformer for Stock Price Forecasting. MASTER is a stock transformer for stock price forecasting, which models the momentary and cross-time stock correlation and guide feature selection with market information., accessed March 17, 2026, </w:t>
      </w:r>
      <w:hyperlink r:id="rId115">
        <w:r w:rsidDel="00000000" w:rsidR="00000000" w:rsidRPr="00000000">
          <w:rPr>
            <w:rFonts w:ascii="Google Sans" w:cs="Google Sans" w:eastAsia="Google Sans" w:hAnsi="Google Sans"/>
            <w:color w:val="0000ee"/>
            <w:sz w:val="24"/>
            <w:szCs w:val="24"/>
            <w:u w:val="single"/>
            <w:rtl w:val="0"/>
          </w:rPr>
          <w:t xml:space="preserve">https://github.com/SJTU-DMTai/MASTER</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Mamba Meets Financial Markets: A Graph-Mamba Approach for Stock Price Prediction - IDEAS/RePEc, accessed March 17, 2026, </w:t>
      </w:r>
      <w:hyperlink r:id="rId116">
        <w:r w:rsidDel="00000000" w:rsidR="00000000" w:rsidRPr="00000000">
          <w:rPr>
            <w:rFonts w:ascii="Google Sans" w:cs="Google Sans" w:eastAsia="Google Sans" w:hAnsi="Google Sans"/>
            <w:color w:val="0000ee"/>
            <w:sz w:val="24"/>
            <w:szCs w:val="24"/>
            <w:u w:val="single"/>
            <w:rtl w:val="0"/>
          </w:rPr>
          <w:t xml:space="preserve">https://ideas.repec.org/p/arx/papers/2410.03707.html</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Mamba Meets Financial Markets: A Graph-Mamba Approach for Stock Price Prediction, accessed March 17, 2026, </w:t>
      </w:r>
      <w:hyperlink r:id="rId117">
        <w:r w:rsidDel="00000000" w:rsidR="00000000" w:rsidRPr="00000000">
          <w:rPr>
            <w:rFonts w:ascii="Google Sans" w:cs="Google Sans" w:eastAsia="Google Sans" w:hAnsi="Google Sans"/>
            <w:color w:val="0000ee"/>
            <w:sz w:val="24"/>
            <w:szCs w:val="24"/>
            <w:u w:val="single"/>
            <w:rtl w:val="0"/>
          </w:rPr>
          <w:t xml:space="preserve">https://www.researchgate.net/publication/390537799_Mamba_Meets_Financial_Markets_A_Graph-Mamba_Approach_for_Stock_Price_Prediction</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Mamba's Efficient Stock Price Prediction | PDF - Scribd, accessed March 17, 2026, </w:t>
      </w:r>
      <w:hyperlink r:id="rId118">
        <w:r w:rsidDel="00000000" w:rsidR="00000000" w:rsidRPr="00000000">
          <w:rPr>
            <w:rFonts w:ascii="Google Sans" w:cs="Google Sans" w:eastAsia="Google Sans" w:hAnsi="Google Sans"/>
            <w:color w:val="0000ee"/>
            <w:sz w:val="24"/>
            <w:szCs w:val="24"/>
            <w:u w:val="single"/>
            <w:rtl w:val="0"/>
          </w:rPr>
          <w:t xml:space="preserve">https://www.scribd.com/presentation/824203932/Mamba-Meets-Financial-Markets-a-Graph-Mamba-Approach-for-Stock-Price-Prediction-1</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Graph Neural Networks for Systemic Financial Risk Forecasting: Modeling Cross-Market Contagion Between Banking Systems and Cryptocurrency Markets - ResearchGate, accessed March 17, 2026, </w:t>
      </w:r>
      <w:hyperlink r:id="rId119">
        <w:r w:rsidDel="00000000" w:rsidR="00000000" w:rsidRPr="00000000">
          <w:rPr>
            <w:rFonts w:ascii="Google Sans" w:cs="Google Sans" w:eastAsia="Google Sans" w:hAnsi="Google Sans"/>
            <w:color w:val="0000ee"/>
            <w:sz w:val="24"/>
            <w:szCs w:val="24"/>
            <w:u w:val="single"/>
            <w:rtl w:val="0"/>
          </w:rPr>
          <w:t xml:space="preserve">https://www.researchgate.net/publication/401392167_Graph_Neural_Networks_for_Systemic_Financial_Risk_Forecasting_Modeling_Cross-Market_Contagion_Between_Banking_Systems_and_Cryptocurrency_Markets</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Crisis-Resilient Portfolio Management via Graph-based Spatio-Temporal Learning, accessed March 17, 2026, </w:t>
      </w:r>
      <w:hyperlink r:id="rId120">
        <w:r w:rsidDel="00000000" w:rsidR="00000000" w:rsidRPr="00000000">
          <w:rPr>
            <w:rFonts w:ascii="Google Sans" w:cs="Google Sans" w:eastAsia="Google Sans" w:hAnsi="Google Sans"/>
            <w:color w:val="0000ee"/>
            <w:sz w:val="24"/>
            <w:szCs w:val="24"/>
            <w:u w:val="single"/>
            <w:rtl w:val="0"/>
          </w:rPr>
          <w:t xml:space="preserve">https://arxiv.org/html/2510.20868v1</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Quantitative agent-based models: a promising alternative for macroeconomics | Oxford Review of Economic Policy, accessed March 17, 2026, </w:t>
      </w:r>
      <w:hyperlink r:id="rId121">
        <w:r w:rsidDel="00000000" w:rsidR="00000000" w:rsidRPr="00000000">
          <w:rPr>
            <w:rFonts w:ascii="Google Sans" w:cs="Google Sans" w:eastAsia="Google Sans" w:hAnsi="Google Sans"/>
            <w:color w:val="0000ee"/>
            <w:sz w:val="24"/>
            <w:szCs w:val="24"/>
            <w:u w:val="single"/>
            <w:rtl w:val="0"/>
          </w:rPr>
          <w:t xml:space="preserve">https://academic.oup.com/oxrep/article/41/2/571/8281854</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Agent-Based Modelling for Real-World Stock Markets under Behavioral Economic Principles, accessed March 17, 2026, </w:t>
      </w:r>
      <w:hyperlink r:id="rId122">
        <w:r w:rsidDel="00000000" w:rsidR="00000000" w:rsidRPr="00000000">
          <w:rPr>
            <w:rFonts w:ascii="Google Sans" w:cs="Google Sans" w:eastAsia="Google Sans" w:hAnsi="Google Sans"/>
            <w:color w:val="0000ee"/>
            <w:sz w:val="24"/>
            <w:szCs w:val="24"/>
            <w:u w:val="single"/>
            <w:rtl w:val="0"/>
          </w:rPr>
          <w:t xml:space="preserve">https://arxiv.org/html/2307.12987v3</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Agent-based modeling and simulation for economic markets: a comprehensive review of applications, challenges, and opportunities - Taylor &amp; Francis, accessed March 17, 2026, </w:t>
      </w:r>
      <w:hyperlink r:id="rId123">
        <w:r w:rsidDel="00000000" w:rsidR="00000000" w:rsidRPr="00000000">
          <w:rPr>
            <w:rFonts w:ascii="Google Sans" w:cs="Google Sans" w:eastAsia="Google Sans" w:hAnsi="Google Sans"/>
            <w:color w:val="0000ee"/>
            <w:sz w:val="24"/>
            <w:szCs w:val="24"/>
            <w:u w:val="single"/>
            <w:rtl w:val="0"/>
          </w:rPr>
          <w:t xml:space="preserve">https://www.tandfonline.com/doi/full/10.1080/17477778.2026.2625187?af=R</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ABIDES: Towards High-Fidelity Multi-Agent Market Simulation - ResearchGate, accessed March 17, 2026, </w:t>
      </w:r>
      <w:hyperlink r:id="rId124">
        <w:r w:rsidDel="00000000" w:rsidR="00000000" w:rsidRPr="00000000">
          <w:rPr>
            <w:rFonts w:ascii="Google Sans" w:cs="Google Sans" w:eastAsia="Google Sans" w:hAnsi="Google Sans"/>
            <w:color w:val="0000ee"/>
            <w:sz w:val="24"/>
            <w:szCs w:val="24"/>
            <w:u w:val="single"/>
            <w:rtl w:val="0"/>
          </w:rPr>
          <w:t xml:space="preserve">https://www.researchgate.net/publication/341989645_ABIDES_Towards_High-Fidelity_Multi-Agent_Market_Simulation</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abides-sim/abides: ABIDES: Agent-Based Interactive Discrete Event Simulation - GitHub, accessed March 17, 2026, </w:t>
      </w:r>
      <w:hyperlink r:id="rId125">
        <w:r w:rsidDel="00000000" w:rsidR="00000000" w:rsidRPr="00000000">
          <w:rPr>
            <w:rFonts w:ascii="Google Sans" w:cs="Google Sans" w:eastAsia="Google Sans" w:hAnsi="Google Sans"/>
            <w:color w:val="0000ee"/>
            <w:sz w:val="24"/>
            <w:szCs w:val="24"/>
            <w:u w:val="single"/>
            <w:rtl w:val="0"/>
          </w:rPr>
          <w:t xml:space="preserve">https://github.com/abides-sim/abides</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ABIDES: Towards High-Fidelity Multi-Agent Market Simulation - NSF Public Access Repository, accessed March 17, 2026, </w:t>
      </w:r>
      <w:hyperlink r:id="rId126">
        <w:r w:rsidDel="00000000" w:rsidR="00000000" w:rsidRPr="00000000">
          <w:rPr>
            <w:rFonts w:ascii="Google Sans" w:cs="Google Sans" w:eastAsia="Google Sans" w:hAnsi="Google Sans"/>
            <w:color w:val="0000ee"/>
            <w:sz w:val="24"/>
            <w:szCs w:val="24"/>
            <w:u w:val="single"/>
            <w:rtl w:val="0"/>
          </w:rPr>
          <w:t xml:space="preserve">https://par.nsf.gov/servlets/purl/10185795</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ABIDES-Economist: Agent-Based Simulator of Economic Systems with Learning Agents, accessed March 17, 2026, </w:t>
      </w:r>
      <w:hyperlink r:id="rId127">
        <w:r w:rsidDel="00000000" w:rsidR="00000000" w:rsidRPr="00000000">
          <w:rPr>
            <w:rFonts w:ascii="Google Sans" w:cs="Google Sans" w:eastAsia="Google Sans" w:hAnsi="Google Sans"/>
            <w:color w:val="0000ee"/>
            <w:sz w:val="24"/>
            <w:szCs w:val="24"/>
            <w:u w:val="single"/>
            <w:rtl w:val="0"/>
          </w:rPr>
          <w:t xml:space="preserve">https://arxiv.org/html/2402.09563v2</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[2601.06920] Calibrating Agent-Based Financial Markets Simulators with Pretrainable Automatic Posterior Transformation-Based Surrogates - arXiv.org, accessed March 17, 2026, </w:t>
      </w:r>
      <w:hyperlink r:id="rId128">
        <w:r w:rsidDel="00000000" w:rsidR="00000000" w:rsidRPr="00000000">
          <w:rPr>
            <w:rFonts w:ascii="Google Sans" w:cs="Google Sans" w:eastAsia="Google Sans" w:hAnsi="Google Sans"/>
            <w:color w:val="0000ee"/>
            <w:sz w:val="24"/>
            <w:szCs w:val="24"/>
            <w:u w:val="single"/>
            <w:rtl w:val="0"/>
          </w:rPr>
          <w:t xml:space="preserve">https://arxiv.org/abs/2601.06920</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Validation of Agent-Based Models in Economics and Finance | Semantic Scholar, accessed March 17, 2026, </w:t>
      </w:r>
      <w:hyperlink r:id="rId129">
        <w:r w:rsidDel="00000000" w:rsidR="00000000" w:rsidRPr="00000000">
          <w:rPr>
            <w:rFonts w:ascii="Google Sans" w:cs="Google Sans" w:eastAsia="Google Sans" w:hAnsi="Google Sans"/>
            <w:color w:val="0000ee"/>
            <w:sz w:val="24"/>
            <w:szCs w:val="24"/>
            <w:u w:val="single"/>
            <w:rtl w:val="0"/>
          </w:rPr>
          <w:t xml:space="preserve">https://www.semanticscholar.org/paper/Validation-of-Agent-Based-Models-in%C2%A0Economics-and-Fagiolo-Guerini/70a881f0c11bc5c17654269aa8df8c14a36eed28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enpact.com/insight/the-evolution-of-forecasting-techniques-traditional-versus-machine-learning-methods" TargetMode="External"/><Relationship Id="rId42" Type="http://schemas.openxmlformats.org/officeDocument/2006/relationships/hyperlink" Target="https://medium.com/tej-api-financial-data-anlaysis/application-tquant-lab-arima-garch-strategy-using-time-series-models-for-stock-prediction-and-cc7be6380ded" TargetMode="External"/><Relationship Id="rId41" Type="http://schemas.openxmlformats.org/officeDocument/2006/relationships/hyperlink" Target="https://publishing.globalcsrc.org/ojs/index.php/jafee/article/view/1681" TargetMode="External"/><Relationship Id="rId44" Type="http://schemas.openxmlformats.org/officeDocument/2006/relationships/hyperlink" Target="https://www.pigment.com/blog/comprehensive-guide-to-financial-forecasting-methods" TargetMode="External"/><Relationship Id="rId43" Type="http://schemas.openxmlformats.org/officeDocument/2006/relationships/hyperlink" Target="https://www.researchgate.net/publication/396579345_Comparative_Forecasting_of_Financial_Time_Series_Using_ARIMA_GARCH_Random_Forest_and_XGBoost_Models" TargetMode="External"/><Relationship Id="rId46" Type="http://schemas.openxmlformats.org/officeDocument/2006/relationships/hyperlink" Target="https://www.mdpi.com/2571-9394/7/3/36" TargetMode="External"/><Relationship Id="rId45" Type="http://schemas.openxmlformats.org/officeDocument/2006/relationships/hyperlink" Target="https://blog.workday.com/en-us/top-7-types-financial-forecasting-models.html" TargetMode="External"/><Relationship Id="rId107" Type="http://schemas.openxmlformats.org/officeDocument/2006/relationships/hyperlink" Target="https://research.google/blog/time-series-foundation-models-can-be-few-shot-learners/" TargetMode="External"/><Relationship Id="rId106" Type="http://schemas.openxmlformats.org/officeDocument/2006/relationships/hyperlink" Target="https://arxiv.org/html/2512.07624v1" TargetMode="External"/><Relationship Id="rId105" Type="http://schemas.openxmlformats.org/officeDocument/2006/relationships/hyperlink" Target="https://kr.wetest.net/blog/ai-agents-financial-testing-guide-1181.html" TargetMode="External"/><Relationship Id="rId104" Type="http://schemas.openxmlformats.org/officeDocument/2006/relationships/hyperlink" Target="https://arxiv.org/html/2408.06361v2" TargetMode="External"/><Relationship Id="rId109" Type="http://schemas.openxmlformats.org/officeDocument/2006/relationships/hyperlink" Target="https://arxiv.org/html/2403.14735v3" TargetMode="External"/><Relationship Id="rId108" Type="http://schemas.openxmlformats.org/officeDocument/2006/relationships/hyperlink" Target="https://towardsdatascience.com/prompt-engineering-for-time-series-analysis-with-large-language-models/" TargetMode="External"/><Relationship Id="rId48" Type="http://schemas.openxmlformats.org/officeDocument/2006/relationships/hyperlink" Target="https://www.mdpi.com/1911-8074/18/9/494" TargetMode="External"/><Relationship Id="rId47" Type="http://schemas.openxmlformats.org/officeDocument/2006/relationships/hyperlink" Target="https://www.utupub.fi/bitstream/handle/10024/177413/Bachelors%2520thesis%252C%2520Anton%2520Salonen%2520%252825.4.2024%2529.pdf?sequence=1&amp;isAllowed=y" TargetMode="External"/><Relationship Id="rId49" Type="http://schemas.openxmlformats.org/officeDocument/2006/relationships/hyperlink" Target="https://www.fortraders.com/blog/momentum-vs-mean-reversion-strategies-for-challenges" TargetMode="External"/><Relationship Id="rId103" Type="http://schemas.openxmlformats.org/officeDocument/2006/relationships/hyperlink" Target="https://arxiv.org/html/2403.11897v2" TargetMode="External"/><Relationship Id="rId102" Type="http://schemas.openxmlformats.org/officeDocument/2006/relationships/hyperlink" Target="https://www.tandfonline.com/doi/full/10.1080/14697688.2022.2081592" TargetMode="External"/><Relationship Id="rId101" Type="http://schemas.openxmlformats.org/officeDocument/2006/relationships/hyperlink" Target="https://www.mdpi.com/2227-7390/9/9/994" TargetMode="External"/><Relationship Id="rId100" Type="http://schemas.openxmlformats.org/officeDocument/2006/relationships/hyperlink" Target="https://mfe.baruch.cuny.edu/wp-content/uploads/2018/02/RoughVolatilityColumbia2018.pdf" TargetMode="External"/><Relationship Id="rId31" Type="http://schemas.openxmlformats.org/officeDocument/2006/relationships/hyperlink" Target="https://www.springerprofessional.de/new-economic-windows/1424942" TargetMode="External"/><Relationship Id="rId30" Type="http://schemas.openxmlformats.org/officeDocument/2006/relationships/image" Target="media/image2.png"/><Relationship Id="rId33" Type="http://schemas.openxmlformats.org/officeDocument/2006/relationships/hyperlink" Target="https://www.oxfordmartin.ox.ac.uk/news/agent-based-modelling-comes-of-age" TargetMode="External"/><Relationship Id="rId32" Type="http://schemas.openxmlformats.org/officeDocument/2006/relationships/hyperlink" Target="https://arxiv.org/html/2601.03802v1" TargetMode="External"/><Relationship Id="rId35" Type="http://schemas.openxmlformats.org/officeDocument/2006/relationships/hyperlink" Target="https://www.mdpi.com/2227-7072/13/2/65" TargetMode="External"/><Relationship Id="rId34" Type="http://schemas.openxmlformats.org/officeDocument/2006/relationships/hyperlink" Target="https://aimspress.com/aimspress-data/dsfe/2025/4/PDF/DSFE-05-04-021.pdf" TargetMode="External"/><Relationship Id="rId37" Type="http://schemas.openxmlformats.org/officeDocument/2006/relationships/hyperlink" Target="https://www.mdpi.com/2227-7390/10/6/860" TargetMode="External"/><Relationship Id="rId36" Type="http://schemas.openxmlformats.org/officeDocument/2006/relationships/hyperlink" Target="https://hai.stanford.edu/news/stanford-ai-experts-predict-what-will-happen-in-2026" TargetMode="External"/><Relationship Id="rId39" Type="http://schemas.openxmlformats.org/officeDocument/2006/relationships/hyperlink" Target="https://www.mdpi.com/2073-8994/17/9/1372" TargetMode="External"/><Relationship Id="rId38" Type="http://schemas.openxmlformats.org/officeDocument/2006/relationships/hyperlink" Target="https://aurora.auburn.edu/bitstream/handle/11200/50711/Comparative%20Analysis%20of%20Financial%20Performance%20Among%20Traditional%20Quantitative,AI-Based,%20and%20Hybrid%20Modeling%20Approaches.pdf?sequence=1" TargetMode="External"/><Relationship Id="rId20" Type="http://schemas.openxmlformats.org/officeDocument/2006/relationships/image" Target="media/image20.png"/><Relationship Id="rId22" Type="http://schemas.openxmlformats.org/officeDocument/2006/relationships/image" Target="media/image21.png"/><Relationship Id="rId21" Type="http://schemas.openxmlformats.org/officeDocument/2006/relationships/image" Target="media/image23.png"/><Relationship Id="rId24" Type="http://schemas.openxmlformats.org/officeDocument/2006/relationships/image" Target="media/image5.png"/><Relationship Id="rId23" Type="http://schemas.openxmlformats.org/officeDocument/2006/relationships/image" Target="media/image6.png"/><Relationship Id="rId129" Type="http://schemas.openxmlformats.org/officeDocument/2006/relationships/hyperlink" Target="https://www.semanticscholar.org/paper/Validation-of-Agent-Based-Models-in%C2%A0Economics-and-Fagiolo-Guerini/70a881f0c11bc5c17654269aa8df8c14a36eed28" TargetMode="External"/><Relationship Id="rId128" Type="http://schemas.openxmlformats.org/officeDocument/2006/relationships/hyperlink" Target="https://arxiv.org/abs/2601.06920" TargetMode="External"/><Relationship Id="rId127" Type="http://schemas.openxmlformats.org/officeDocument/2006/relationships/hyperlink" Target="https://arxiv.org/html/2402.09563v2" TargetMode="External"/><Relationship Id="rId126" Type="http://schemas.openxmlformats.org/officeDocument/2006/relationships/hyperlink" Target="https://par.nsf.gov/servlets/purl/10185795" TargetMode="External"/><Relationship Id="rId26" Type="http://schemas.openxmlformats.org/officeDocument/2006/relationships/image" Target="media/image14.png"/><Relationship Id="rId121" Type="http://schemas.openxmlformats.org/officeDocument/2006/relationships/hyperlink" Target="https://academic.oup.com/oxrep/article/41/2/571/8281854" TargetMode="External"/><Relationship Id="rId25" Type="http://schemas.openxmlformats.org/officeDocument/2006/relationships/image" Target="media/image12.png"/><Relationship Id="rId120" Type="http://schemas.openxmlformats.org/officeDocument/2006/relationships/hyperlink" Target="https://arxiv.org/html/2510.20868v1" TargetMode="External"/><Relationship Id="rId28" Type="http://schemas.openxmlformats.org/officeDocument/2006/relationships/image" Target="media/image1.png"/><Relationship Id="rId27" Type="http://schemas.openxmlformats.org/officeDocument/2006/relationships/image" Target="media/image4.png"/><Relationship Id="rId125" Type="http://schemas.openxmlformats.org/officeDocument/2006/relationships/hyperlink" Target="https://github.com/abides-sim/abides" TargetMode="External"/><Relationship Id="rId29" Type="http://schemas.openxmlformats.org/officeDocument/2006/relationships/image" Target="media/image10.png"/><Relationship Id="rId124" Type="http://schemas.openxmlformats.org/officeDocument/2006/relationships/hyperlink" Target="https://www.researchgate.net/publication/341989645_ABIDES_Towards_High-Fidelity_Multi-Agent_Market_Simulation" TargetMode="External"/><Relationship Id="rId123" Type="http://schemas.openxmlformats.org/officeDocument/2006/relationships/hyperlink" Target="https://www.tandfonline.com/doi/full/10.1080/17477778.2026.2625187?af=R" TargetMode="External"/><Relationship Id="rId122" Type="http://schemas.openxmlformats.org/officeDocument/2006/relationships/hyperlink" Target="https://arxiv.org/html/2307.12987v3" TargetMode="External"/><Relationship Id="rId95" Type="http://schemas.openxmlformats.org/officeDocument/2006/relationships/hyperlink" Target="https://quantum-journal.org/papers/q-2020-08-13-307/" TargetMode="External"/><Relationship Id="rId94" Type="http://schemas.openxmlformats.org/officeDocument/2006/relationships/hyperlink" Target="https://www.researchgate.net/publication/398892288_Quantum-Inspired_Swarm_Optimization_Algorithm_for_High-Frequency_Stock_Trend_Forecasting" TargetMode="External"/><Relationship Id="rId97" Type="http://schemas.openxmlformats.org/officeDocument/2006/relationships/hyperlink" Target="https://www.worldscientific.com/doi/10.1142/S0219024925300021" TargetMode="External"/><Relationship Id="rId96" Type="http://schemas.openxmlformats.org/officeDocument/2006/relationships/hyperlink" Target="https://repositori.upf.edu/bitstreams/e10be315-04d9-422e-af20-5563dd1b3e07/download" TargetMode="External"/><Relationship Id="rId11" Type="http://schemas.openxmlformats.org/officeDocument/2006/relationships/image" Target="media/image7.png"/><Relationship Id="rId99" Type="http://schemas.openxmlformats.org/officeDocument/2006/relationships/hyperlink" Target="https://www.siam.org/publications/siam-news/articles/rough-volatility-in-financial-mathematics/" TargetMode="External"/><Relationship Id="rId10" Type="http://schemas.openxmlformats.org/officeDocument/2006/relationships/image" Target="media/image13.png"/><Relationship Id="rId98" Type="http://schemas.openxmlformats.org/officeDocument/2006/relationships/hyperlink" Target="https://www.imes.boj.or.jp/research/papers/english/24-E-06.pdf" TargetMode="External"/><Relationship Id="rId13" Type="http://schemas.openxmlformats.org/officeDocument/2006/relationships/image" Target="media/image17.png"/><Relationship Id="rId12" Type="http://schemas.openxmlformats.org/officeDocument/2006/relationships/image" Target="media/image3.png"/><Relationship Id="rId91" Type="http://schemas.openxmlformats.org/officeDocument/2006/relationships/hyperlink" Target="https://www.osti.gov/servlets/purl/1648867" TargetMode="External"/><Relationship Id="rId90" Type="http://schemas.openxmlformats.org/officeDocument/2006/relationships/hyperlink" Target="https://www.usdsi.org/data-science-insights/latest-developments-in-quantum-computing-2026-edition" TargetMode="External"/><Relationship Id="rId93" Type="http://schemas.openxmlformats.org/officeDocument/2006/relationships/hyperlink" Target="https://pmc.ncbi.nlm.nih.gov/articles/PMC12130227/" TargetMode="External"/><Relationship Id="rId92" Type="http://schemas.openxmlformats.org/officeDocument/2006/relationships/hyperlink" Target="https://ieeexplore.ieee.org/document/10956507/" TargetMode="External"/><Relationship Id="rId118" Type="http://schemas.openxmlformats.org/officeDocument/2006/relationships/hyperlink" Target="https://www.scribd.com/presentation/824203932/Mamba-Meets-Financial-Markets-a-Graph-Mamba-Approach-for-Stock-Price-Prediction-1" TargetMode="External"/><Relationship Id="rId117" Type="http://schemas.openxmlformats.org/officeDocument/2006/relationships/hyperlink" Target="https://www.researchgate.net/publication/390537799_Mamba_Meets_Financial_Markets_A_Graph-Mamba_Approach_for_Stock_Price_Prediction" TargetMode="External"/><Relationship Id="rId116" Type="http://schemas.openxmlformats.org/officeDocument/2006/relationships/hyperlink" Target="https://ideas.repec.org/p/arx/papers/2410.03707.html" TargetMode="External"/><Relationship Id="rId115" Type="http://schemas.openxmlformats.org/officeDocument/2006/relationships/hyperlink" Target="https://github.com/SJTU-DMTai/MASTER" TargetMode="External"/><Relationship Id="rId119" Type="http://schemas.openxmlformats.org/officeDocument/2006/relationships/hyperlink" Target="https://www.researchgate.net/publication/401392167_Graph_Neural_Networks_for_Systemic_Financial_Risk_Forecasting_Modeling_Cross-Market_Contagion_Between_Banking_Systems_and_Cryptocurrency_Markets" TargetMode="External"/><Relationship Id="rId15" Type="http://schemas.openxmlformats.org/officeDocument/2006/relationships/image" Target="media/image16.png"/><Relationship Id="rId110" Type="http://schemas.openxmlformats.org/officeDocument/2006/relationships/hyperlink" Target="https://arxiv.org/html/2404.00424v1" TargetMode="External"/><Relationship Id="rId14" Type="http://schemas.openxmlformats.org/officeDocument/2006/relationships/image" Target="media/image15.png"/><Relationship Id="rId17" Type="http://schemas.openxmlformats.org/officeDocument/2006/relationships/image" Target="media/image18.png"/><Relationship Id="rId16" Type="http://schemas.openxmlformats.org/officeDocument/2006/relationships/image" Target="media/image25.png"/><Relationship Id="rId19" Type="http://schemas.openxmlformats.org/officeDocument/2006/relationships/image" Target="media/image19.png"/><Relationship Id="rId114" Type="http://schemas.openxmlformats.org/officeDocument/2006/relationships/hyperlink" Target="https://ojs.aaai.org/index.php/AAAI/article/view/27767/27575" TargetMode="External"/><Relationship Id="rId18" Type="http://schemas.openxmlformats.org/officeDocument/2006/relationships/image" Target="media/image22.png"/><Relationship Id="rId113" Type="http://schemas.openxmlformats.org/officeDocument/2006/relationships/hyperlink" Target="https://arxiv.org/html/2312.15235v1" TargetMode="External"/><Relationship Id="rId112" Type="http://schemas.openxmlformats.org/officeDocument/2006/relationships/hyperlink" Target="https://www.researchgate.net/publication/379293856_MASTER_Market-Guided_Stock_Transformer_for_Stock_Price_Forecasting" TargetMode="External"/><Relationship Id="rId111" Type="http://schemas.openxmlformats.org/officeDocument/2006/relationships/hyperlink" Target="https://arxiv.org/html/2509.15040v1" TargetMode="External"/><Relationship Id="rId84" Type="http://schemas.openxmlformats.org/officeDocument/2006/relationships/hyperlink" Target="https://pmc.ncbi.nlm.nih.gov/articles/PMC9419921/" TargetMode="External"/><Relationship Id="rId83" Type="http://schemas.openxmlformats.org/officeDocument/2006/relationships/hyperlink" Target="https://arxiv.org/pdf/1304.4995" TargetMode="External"/><Relationship Id="rId86" Type="http://schemas.openxmlformats.org/officeDocument/2006/relationships/hyperlink" Target="https://ideas.repec.org/a/kap/compec/v11y1998i1-2p129-63.html" TargetMode="External"/><Relationship Id="rId85" Type="http://schemas.openxmlformats.org/officeDocument/2006/relationships/hyperlink" Target="https://arxiv.org/pdf/1410.1611" TargetMode="External"/><Relationship Id="rId88" Type="http://schemas.openxmlformats.org/officeDocument/2006/relationships/hyperlink" Target="https://www.researchgate.net/publication/395961196_A_Comparative_Study_of_Classical_and_Quantum_Machine_Learning_for_Large-Scale_Financial_Forecasting" TargetMode="External"/><Relationship Id="rId87" Type="http://schemas.openxmlformats.org/officeDocument/2006/relationships/hyperlink" Target="https://deepblue.lib.umich.edu/handle/2027.42/44345" TargetMode="External"/><Relationship Id="rId89" Type="http://schemas.openxmlformats.org/officeDocument/2006/relationships/hyperlink" Target="https://newsroom.ibm.com/2026-03-12-ibm-releases-a-new-blueprint-for-quantum-centric-supercomputing" TargetMode="External"/><Relationship Id="rId80" Type="http://schemas.openxmlformats.org/officeDocument/2006/relationships/hyperlink" Target="https://www.scirp.org/journal/paperinformation?paperid=59468#:~:text=%E3%83%BB%20The%20Schrodinger%20equation%20demands%20a,Schrodinger%20equation%20for%20imaginary%20time." TargetMode="External"/><Relationship Id="rId82" Type="http://schemas.openxmlformats.org/officeDocument/2006/relationships/hyperlink" Target="https://www.scirp.org/journal/paperinformation?paperid=59468" TargetMode="External"/><Relationship Id="rId81" Type="http://schemas.openxmlformats.org/officeDocument/2006/relationships/hyperlink" Target="https://www.researchgate.net/publication/282518156_On_the_Interconnectedness_of_Schrodinger_and_Black-Scholes_Equ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24.png"/><Relationship Id="rId73" Type="http://schemas.openxmlformats.org/officeDocument/2006/relationships/hyperlink" Target="https://arxiv.org/html/2506.17244v1" TargetMode="External"/><Relationship Id="rId72" Type="http://schemas.openxmlformats.org/officeDocument/2006/relationships/hyperlink" Target="https://www.e3s-conferences.org/articles/e3sconf/pdf/2021/51/e3sconf_eilcd2021_01013.pdf" TargetMode="External"/><Relationship Id="rId75" Type="http://schemas.openxmlformats.org/officeDocument/2006/relationships/hyperlink" Target="https://www.researchgate.net/publication/317031914_Financial_Time_Series_Prediction_using_Hybrids_of_Chaos_Theory_Multi-Layer_Perceptron_and_Multi-objective_Evolutionary_Algorithms" TargetMode="External"/><Relationship Id="rId74" Type="http://schemas.openxmlformats.org/officeDocument/2006/relationships/hyperlink" Target="https://www.researchgate.net/publication/227441063_Synergy_of_chaos_theory_and_artificial_neural_networks_in_chaotic_time_series_forecasting" TargetMode="External"/><Relationship Id="rId77" Type="http://schemas.openxmlformats.org/officeDocument/2006/relationships/hyperlink" Target="https://macrosynergy.com/research/detecting-trends-and-mean-reversion-with-the-hurst-exponent/" TargetMode="External"/><Relationship Id="rId76" Type="http://schemas.openxmlformats.org/officeDocument/2006/relationships/hyperlink" Target="https://www.mql5.com/en/articles/15445" TargetMode="External"/><Relationship Id="rId79" Type="http://schemas.openxmlformats.org/officeDocument/2006/relationships/hyperlink" Target="https://ideas.repec.org/p/arx/papers/2205.11122.html" TargetMode="External"/><Relationship Id="rId78" Type="http://schemas.openxmlformats.org/officeDocument/2006/relationships/hyperlink" Target="https://towardsdatascience.com/introduction-to-the-hurst-exponent-with-code-in-python-4da0414ca52e/" TargetMode="External"/><Relationship Id="rId71" Type="http://schemas.openxmlformats.org/officeDocument/2006/relationships/hyperlink" Target="https://asmedigitalcollection.asme.org/computationalnonlinear/article/17/1/011006/1121755/A-Study-on-Methods-for-Determining-Phase-Space" TargetMode="External"/><Relationship Id="rId70" Type="http://schemas.openxmlformats.org/officeDocument/2006/relationships/hyperlink" Target="https://www.researchgate.net/publication/267668767_Study_on_the_parameters_determination_for_reconstructing_phase-space_in_chaos_time_series" TargetMode="External"/><Relationship Id="rId62" Type="http://schemas.openxmlformats.org/officeDocument/2006/relationships/hyperlink" Target="https://www.mdpi.com/1099-4300/26/1/24" TargetMode="External"/><Relationship Id="rId61" Type="http://schemas.openxmlformats.org/officeDocument/2006/relationships/hyperlink" Target="https://pmc.ncbi.nlm.nih.gov/articles/PMC8621921/" TargetMode="External"/><Relationship Id="rId64" Type="http://schemas.openxmlformats.org/officeDocument/2006/relationships/hyperlink" Target="https://www.tandfonline.com/doi/full/10.1080/14697688.2025.2528697" TargetMode="External"/><Relationship Id="rId63" Type="http://schemas.openxmlformats.org/officeDocument/2006/relationships/hyperlink" Target="https://pmc.ncbi.nlm.nih.gov/articles/PMC10813935/" TargetMode="External"/><Relationship Id="rId66" Type="http://schemas.openxmlformats.org/officeDocument/2006/relationships/hyperlink" Target="https://www.mdpi.com/si/mathematics/chaos_theory_its_applications_economic_dynamics" TargetMode="External"/><Relationship Id="rId65" Type="http://schemas.openxmlformats.org/officeDocument/2006/relationships/hyperlink" Target="https://dergipark.org.tr/en/pub/chaos/issue/90440/1634673" TargetMode="External"/><Relationship Id="rId68" Type="http://schemas.openxmlformats.org/officeDocument/2006/relationships/hyperlink" Target="https://pmc.ncbi.nlm.nih.gov/articles/PMC9497821/" TargetMode="External"/><Relationship Id="rId67" Type="http://schemas.openxmlformats.org/officeDocument/2006/relationships/hyperlink" Target="https://www.semanticscholar.org/paper/Identification-of-Chaos-in-Financial-Time-Series-to-Ahmadi-Aghababa/844a9c27c995e5c3593a4a66d1d00faf42a7d202" TargetMode="External"/><Relationship Id="rId60" Type="http://schemas.openxmlformats.org/officeDocument/2006/relationships/hyperlink" Target="https://www.mdpi.com/1099-4300/19/5/226" TargetMode="External"/><Relationship Id="rId69" Type="http://schemas.openxmlformats.org/officeDocument/2006/relationships/hyperlink" Target="https://www.mdpi.com/1099-4300/23/2/221" TargetMode="External"/><Relationship Id="rId51" Type="http://schemas.openxmlformats.org/officeDocument/2006/relationships/hyperlink" Target="https://www.reddit.com/r/algotrading/comments/1hr77sy/hurst_exponent_shows_that_95_of_the_time_in_the/" TargetMode="External"/><Relationship Id="rId50" Type="http://schemas.openxmlformats.org/officeDocument/2006/relationships/hyperlink" Target="https://www.litefinance.org/blog/for-beginners/trading-strategies/mean-reversion-vs-momentum-strategies/" TargetMode="External"/><Relationship Id="rId53" Type="http://schemas.openxmlformats.org/officeDocument/2006/relationships/hyperlink" Target="https://en.wikipedia.org/wiki/Econophysics" TargetMode="External"/><Relationship Id="rId52" Type="http://schemas.openxmlformats.org/officeDocument/2006/relationships/hyperlink" Target="https://www.quantinsti.com/articles/types-trading-strategies/" TargetMode="External"/><Relationship Id="rId55" Type="http://schemas.openxmlformats.org/officeDocument/2006/relationships/hyperlink" Target="https://www.researchgate.net/publication/399528956_Bridging_Physics_and_Finance_Applications_of_Quantum_Mechanics_Concepts_in_Economic_Forecasting_and_Policy_Analysis" TargetMode="External"/><Relationship Id="rId54" Type="http://schemas.openxmlformats.org/officeDocument/2006/relationships/hyperlink" Target="https://arxiv.org/html/2509.23692v1" TargetMode="External"/><Relationship Id="rId57" Type="http://schemas.openxmlformats.org/officeDocument/2006/relationships/hyperlink" Target="https://www.mdpi.com/journal/entropy/special_issues/97V2U1SX3C" TargetMode="External"/><Relationship Id="rId56" Type="http://schemas.openxmlformats.org/officeDocument/2006/relationships/hyperlink" Target="https://repositori.upf.edu/bitstreams/bb66dc80-e2f3-4c76-a3bf-fab18fecb265/download" TargetMode="External"/><Relationship Id="rId59" Type="http://schemas.openxmlformats.org/officeDocument/2006/relationships/hyperlink" Target="https://pmc.ncbi.nlm.nih.gov/articles/PMC8534577/" TargetMode="External"/><Relationship Id="rId58" Type="http://schemas.openxmlformats.org/officeDocument/2006/relationships/hyperlink" Target="https://www.mdpi.com/1099-4300/23/10/128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