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Cross-Domain Data Execution: Strategic Applications of Military and Financial Data Architectures to the FFPE Project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data environment is defined by an unprecedented convergence of volume, velocity, and veracity. Across high-stakes domains—ranging from national security operations and global quantitative financial markets to advanced biomedical research—organizations are fundamentally tasked with capturing volatile data streams, filtering out extreme noise, and executing algorithmic decisions with near-zero latency. The Formalin-Fixed Paraffin-Embedded (FFPE) Project represents one of the most complex data execution challenges in modern computational biology and clinical pathology. FFPE tissues serve as critical historical biobanks for toxicogenomic research, retrospective oncology trials, and precision medicine, yet the chemical preservation process inherently degrades nucleic acids, producing highly fragmented, noisy, and artifact-heavy genomic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Extracting high-fidelity structural variants, mapping spatial transcriptomics, and generating computational pathology findings from these degraded samples requires data processing pipelines that far exceed the capabilities of traditional, linear bioinformatics.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the FFPE Project and overcome the biological limitations of archived tissue samples, it is necessary to look beyond standard clinical architectures and rigorously examine the highly mature data execution frameworks pioneered by the military and quantitative finance sectors. The United States Department of Defense (DoD) has spent decades perfecting the Intelligence Cycle, tactical sensor management, and the "Observe, Orient, Decide, Act" (OODA) loop to extract actionable, verifiable intelligence from degraded, contested, and highly volatile environments.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Simultaneously, the financial sector has engineered High-Frequency Trading (HFT) architectures and automated decisioning algorithms capable of processing massive, unstructured data streams, detecting statistical outliers in milliseconds, and executing sophisticated logic without human bottlenecking.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an exhaustive analysis of how military and financial entities capture, analyze, and execute on data. It subsequently synthesizes these paradigms, offering a blueprint for adapting military signal de-noising, strategic data governance, and financial high-throughput pipeline architectures to revolutionize the extraction, analysis, and clinical application of FFPE genomic data.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Military Intelligence Data Lifecycle and Sensor Execution Frameworks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military data architecture is engineered from the ground up to operate under conditions of extreme uncertainty, adversarial interference, and strict time constraints. To systematically manage information flow from the tactical edge to strategic command echelons, military organizations utilize a highly structured, iterative data lifecycle known as the Intelligence Cycle.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Cycle and Multimodal Collection Disciplines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Cycle functions as a closed-loop architectural model designed to refine raw, unstructured data into finished, actionable intelligence for policymakers and combat commanders.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cycle begins with Direction and Planning, wherein decision-makers issue Essential Elements of Information (EEIs) to initiate the cycle, dictating specific intelligence collection requirements based on strategic objectives.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phase is critical, as it ensures that subsequent data collection is not a random aggregation of noise, but a targeted acquisition effort aligned with national security priorities.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direction, the Collection phase mobilizes a vast array of multimodal sensor networks to gather raw information. Modern military intelligence relies on several highly technical collection disciplines, often referred to as "INTs." Signals Intelligence (SIGINT) involves collecting and analyzing information transmitted by foreign electronic signals, including communications, radar emissions, and weapons systems telemetry.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collection of SIGINT requires advanced electronic equipment, such as low-earth orbit satellites and specialized aircraft, capable of intercepting and decoding encrypted transmissions across the electromagnetic spectrum.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Imagery Intelligence (IMINT) relies on high-resolution electro-optical sensors, satellite photography, and aerial reconnaissance to provide visual data regarding troop movements and structural developments, a discipline whose origins trace back to World War II bomb planning.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IMINT is combined with precise geographic coordinates and mapping data, it evolves into Geospatial Intelligence (GEOINT), providing a dynamic, layered view of the battlefield.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complex collection discipline is Measurement and Signature Intelligence (MASINT). MASINT is defined as scientific and technical intelligence derived from the analysis of data obtained from sensing instruments to identify distinctive features associated with a specific source.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Often described colloquially as the "astronomy except for the direction of view" or the forensic science of the intelligence community, MASINT captures minute physical characteristics—such as acoustic vibrations, radiation traces, and specific radar cross-sections—to identify targets that successfully evade traditional visual or signal detection.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data is captured across these modalities, it enters the Processing and Exploitation phase, where vast amounts of raw data are decrypted, translated from foreign languages, and reduced into formats usable by human analysts and machine learning models.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Analysis and Production phase follows, representing the conversion of basic information into finished intelligence. All-source analysts must integrate this fragmentary, and often contradictory, data to evaluate patterns, determine reliability, and prepare formal intelligence products.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Finally, in the Dissemination and Feedback phase, these products are delivered to consumers, whose subsequent policy decisions and tactical actions generate new EEIs, thereby continuously perpetuating the cycle.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Edge Sensor Management and Resource Allocation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warfare, military forces operate in large-scale, dynamic, and semi-structured environments where data collection must be relentlessly optimized.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challenge is not merely collecting data, but managing scarce sensing resources to gather the most complete and relevant information without overwhelming the tactical network. Sensor management is the adaptive coordination, allocation, and control of sensing resources as an integral part of the Command and Control process.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tactical edge, where communication bandwidth is often degraded, intermittent, latent, or lossy (DIL), raw data must be reduced into actionable, decision-supportive information directly at the sensor node before transmission.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requires sophisticated clustering algorithms that group similar sensor observations to minimize redundant transmissions, and anomaly detection protocols that prioritize the transmission of unusual patterns requiring immediate investigation.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Time synchronization algorithms maintain coherent timestamps across distributed sensor arrays, while Quality of Service (QoS) mechanisms prioritize critical targeting data over routine telemetry.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NP-complete problem of sensor allocation—where calculating the optimal distribution of sensors to targets becomes computationally intractable as variables increase—military researchers have developed heuristic approaches, such as improved ant colony algorithms, to optimize sensor combinations.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modern maneuver elements leverage modular, remotely deployable sensor arrays that incorporate interchangeable sensing modules.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microelectronics-based systems allow for multimodal detection—such as distinguishing between specific enemy vehicle types, decoys, and chemical warfare agents—while managing communications, networking, and power distribution autonomously at the hub.</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OODA Loop and Algorithmic Warfare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Intelligence Cycle manages the flow of information, the execution of military strategy relies heavily on the OODA Loop—Observe, Orient, Decide, Act. Developed by United States Air Force Colonel John Boyd, a fighter pilot and military strategist, the OODA Loop was originally derived from his Energy Maneuverability Theory to model aircraft performance and optimize combat capabilities.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Boyd recognized that decision-making in conflict is an iterative cycle, and the entity that can process this cycle more rapidly and effectively than an opponent can "get inside" the adversary's decision cycle, thereby gaining a decisive advantage.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Observe phase involves gathering real-time data from multiple sources to understand the immediate environment.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Orient phase synthesizes these observations with cultural, experiential, and contextual factors to form a meaningful understanding of the threat landscape.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Decide phase selects the optimal course of action, and the Act phase implements the decision, generating new environmental variables that feed directly back into the subsequent Observation phase.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Unlike linear planning models requiring early commitment, the continuous feedback loop of the OODA model enables late commitment and extreme agility.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era of algorithmic warfare, the military has integrated Artificial Intelligence (AI) and Machine Learning (ML) to execute the OODA loop at speeds exceeding human cognitive capacity.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Supervised learning algorithms, trained on vast, labeled datasets of historical enemy movements, provide predictive analytics to forecast adversary actions and estimate logistical requirements.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Unsupervised learning techniques group unlabeled terrain and sensor data to identify optimal mobility corridors, while reinforcement learning algorithms optimize execution timelines during simulated wargaming.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ensure reliability, these models undergo "ground truthing," an ongoing process of validating machine predictions against real-world observations.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data-driven approach offers a quantitative risk assessment, reducing human bias and enabling precise resource allocation in heavily contested, anti-access/area denial (A2/AD) environments.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Data Governance: The VAULTIS Framework and Provenance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execution of AI-driven military operations is predicated entirely on the integrity of the underlying data. To this end, the DoD has implemented a comprehensive Data Strategy that explicitly defines data as a strategic asset and a high-interest commodity that must be treated as a weapon system.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cornerstone of this strategy is the VAULTIS framework, establishing seven mandatory goals for all military data: Visible, Accessible, Understandable, Linked, Trustworthy, Interoperable, and Secure.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achieve visibility and understandability, the DoD mandates strict metadata tagging policies.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Data assets acquire both mission and functional metadata throughout their lifecycle, allowing consumers to locate needed data via enterprise catalogs and recognize its context and applicability immediately.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Interoperability is achieved through the enforcement of open data standards and machine-readable data exchange specifications, ensuring that disparate systems across military branches and coalition partners can link data for complex analytics.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DoD emphasizes "Collective Data Stewardship," assigning specific data stewards, custodians, and functional managers to enforce accountability.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stewardship ensures the "Trustworthy" and "Secure" tenets of the VAULTIS framework by maintaining strict data provenance and pedigree from the point of creation.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Provenance represents the comprehensive documentation of a dataset's origin, transformation history, ownership chain, and access controls.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guaranteeing pedigree, the military ensures that the data utilized for AI training and algorithmic models is free from data poisoning, supply chain compromise, and adversarial manipulation, mitigating the vulnerabilities inherent in "black box" machine learning deployments.</w:t>
      </w:r>
      <w:r w:rsidDel="00000000" w:rsidR="00000000" w:rsidRPr="00000000">
        <w:rPr>
          <w:rFonts w:ascii="Google Sans" w:cs="Google Sans" w:eastAsia="Google Sans" w:hAnsi="Google Sans"/>
          <w:color w:val="444746"/>
          <w:sz w:val="24"/>
          <w:szCs w:val="24"/>
          <w:vertAlign w:val="superscript"/>
          <w:rtl w:val="0"/>
        </w:rPr>
        <w:t xml:space="preserve">32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DoD VAULTIS Tenet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Objective for Military Data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Implementation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 data consumers can locate necessary intelligence.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enterprise data catalogs and baseline metadata tagging.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retrieval by authorized entities.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privilege management and secure API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Understandable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Convey immediate content and contextual meaning.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standardization and data dictionaries.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 innate relationships across disparate datasets.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open data standards to merge SIGINT, IMINT, and MASINT.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Trustworthy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 confidence for algorithmic decision-making.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unbroken data provenance, lineage, and pedigree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Interoperable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 common representation across coalition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Machine-readable formatting and standardized data exchange specifications.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 against unauthorized manipulation or exfiltration.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Trust architecture and data loss prevention (DLP) technologies.</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High-Velocity Data Capture and Execution in Quantitative Finance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military data architecture prioritizes operational resilience, secure provenance, and survivability in degraded environments, the global financial sector prioritizes absolute execution velocity, high-throughput volume, and real-time algorithmic action. Financial institutions, particularly those engaged in High-Frequency Trading (HFT) and automated lending, operate infrastructures designed to eliminate human bottlenecks and reduce data processing latency to the microsecond.</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Data Lifecycle and HFT Architecture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 data-driven financial institution requires mastering the comprehensive journey of information, mapped out through the financial data lifecycle. This cycle typically encompasses six core stages: Generation, Collection, Processing, Storage, Analysis, and Deployment or Execution.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During processing, financial data undergoes rigorous wrangling and munging to transform raw inputs into clean, accessible formats, followed by encryption for privacy and compression for efficient storage.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the highly competitive realm of HFT, traditional linear data lifecycles and Extract, Transform, Load (ETL) workflows are entirely obsolete, as they introduce unacceptable latency.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Instead, HFT relies on zero-copy architectures, intelligent unified pipelines, and extreme hardware optimization. Modern trading systems are frequently coded in low-level, memory-safe languages like Rust to build bespoke connectors and feed handlers that parse incoming market data directly from exchange co-location facilities, bypassing the bloat of commercial, off-the-shelf software.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platforms, such as DDN's IndustrySync, Infinia, and EXAScaler, facilitate this high-speed execution.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architectures ingest multi-terabyte streams of structured and unstructured market data directly into GPU-accelerated memory. As the data lands, AI models simultaneously trigger inferences, dynamically update counterparty risk scores, and generate automated compliance logs entirely in motion, without manual orchestration.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continuous monitoring enables institutions to identify intraday risks and systemic threats before the end-of-day (EOD) batch analytics traditionally mandated by regulatory bodies can even begin computing.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Outlier Detection Algorithms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operational integrity of automated trading engines and prevent catastrophic flash crashes, financial systems must validate incoming data streams continuously. Outlier detection in real-time streams presents unique computational challenges, as edge devices and core servers possess finite memory, yet must identify abnormal behaviors instantaneously.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institutions employ a variety of advanced algorithms to monitor these streams. Statistical smoothing methods, such as the Moving Average (MA) and Exponential Moving Average (EMA), establish baselines and identify deviations, accommodating for "concept drift"—the phenomenon where the underlying statistical properties of the market data change rapidly over time due to macroeconomic shifts.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more complex, multidimensional anomaly detection, specialized algorithms are deployed. The Continuous Pattern Outlier Detection (CPOD) algorithm drastically improves efficiency by utilizing a "core point" data structure and multi-distance indexing.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allows the system to rapidly identify normal inliers and significantly reduce the neighbor search spaces required to validate outlier candidates, operating up to 73 times faster than older methods.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Similarly, the Extended Incremental Local Outlier Factor (EILOF) algorithm improves upon traditional density-based outlier detection, reducing computational costs while improving accuracy as the volume of streaming data scales.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the context of fraud detection and credit modeling, supervised machine learning algorithms such as Logistic Regression, Support Vector Machines, and Random Forests are trained on historical transaction data to immediately flag malicious activity.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Data Fusion and Tactical Asset Allocation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alpha—returns exceeding the market benchmark—quantitative finance increasingly relies on Multi-Modal Data Fusion, merging structured financial statements with highly unstructured "alternative data".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Alternative datasets encompass diverse sources such as satellite imagery of retail parking lots, geolocation telemetry, natural language processing (NLP) sentiment analysis extracted from social media platforms (e.g., Twitter, Reddit), and aggregated credit card transaction records.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disparate data types relies heavily on transfer learning.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AI models originally engineered for non-financial tasks are repurposed to extract financial intelligence; for example, facial recognition models are adapted to analyze satellite imagery for economic indicators, and medical imaging AI is applied to detect nuanced patterns in technical trading charts.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fused intelligence feeds directly into Tactical Asset Allocation (TAA). Unlike Strategic Asset Allocation (SAA)—which relies on static, long-term historical averages to establish a baseline portfolio weight (e.g., a standard 60/40 stock-to-bond split) and ignores short-term market fluctuations—TAA dynamically adjusts asset weights.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TAA acts as an active overlay strategy, exploiting real-time deviations from expected long-term relationships.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analyzing where assets sit within the current business cycle, projected central bank policies, and alternative sentiment data, algorithms execute rapid micro-adjustments, overweighting or underweighting specific asset classes to optimize returns.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Loan Decisioning and Algorithmic Execution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sector's reliance on algorithmic data execution extends far beyond high-frequency trading floors into the realm of automated loan origination and consumer credit.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Historically, loan underwriting was a highly manual, labor-intensive process burdened by paper documentation and subjective human evaluation. Today, financial institutions deploy end-to-end automation to process applications, verify borrower data, and issue credit decisions instantaneously.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automation is achieved through complex systems integration via secure APIs, connecting customer relationship management (CRM) software directly with core banking infrastructure.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Robotic Process Automation (RPA) executes repetitive data entry tasks, while Optical Character Recognition (OCR) technology autonomously reads and validates unstructured income and asset documents.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core of this system is Decisioning Optimization (DO) utilizing modern data science and statistical analysis.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Machine learning algorithms evaluate thousands of discrete data points, establishing critical risk drivers and calculating their precise inflection points.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systems utilize Retrieval-Augmented Generation (RAG) frameworks and vector databases equipped with semantic search capabilities to cross-reference loan policies and regulatory criteria instantly.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relying on rules-based algorithmic evaluation rather than human intuition, automated loan decisioning drastically reduces application turnaround times, mitigates inherent human bias, scales efficiently during volume spikes, and maintains scrupulous regulatory compliance by generating immutable audit trails for every automated action.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FFPE Project Paradigm: Biomedical Data Challenges and Opportunities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advanced data architecture and biology is most vividly illustrated by the FFPE Project. Formalin-Fixed Paraffin-Embedded (FFPE) tissue preservation has served as the universal standard for clinical pathology and anatomical tissue storage since the late 19th century.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Tissues are preserved in formaldehyde, which effectively cross-links proteins and nucleic acids, halting degradation and preserving cellular morphology, before being embedded in blocks of paraffin wax.</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methodology allowed institutions like the Armed Forces Institute of Pathology (AFIP) to amass the world's largest repository of human pathology specimens, preserving invaluable historical data, including the biospecimens used to sequence the 1918 influenza virus genome.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Biological Data Extraction Challenge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formalin fixation perfectly preserves macroscopic and microscopic tissue architecture, it wreaks havoc on the molecular integrity of the sample, presenting a formidable data extraction challenge. Formalin chemically modifies DNA through deamination, induces profound fragmentation, and permanently cross-links nucleic acids to surrounding proteins.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extracting sequencing data from decades-old FFPE blocks yields highly noisy, artifact-heavy genomic signals. The resulting DNA often presents with extremely low Data Integrity Numbers (e.g., DIN 2.0) and poor amplification ratios (e.g., Q129 bp/Q41 bp = 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Sequencing this damaged material frequently generates false-positive variant calls, severely limiting its utility for precision oncology and toxicogenomic research.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inherent biological limitations, recent innovations in specialized library preparation kits and computational pipelines have catalyzed the FFPE Project. Commercial services, such as Dovetail Genomics' FFPE Service, now offer optimized protocols to perform ultra-sensitive structural variant (SV) detection, alongside Single Nucleotide Variant (SNV), Insertion/Deletion (Indel), and Copy Number Variant (CNV) calling, all from a single FFPE block.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Restoration technologies have demonstrated remarkable efficacy; studies applying pre-analytical DNA repair treatments to ovine (sheep) FFPE samples achieved a 99% genotyping concordance rate when compared directly to fresh-frozen matched tissues.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Transcriptomics and Computational Pathology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frontier of the FFPE Project is the execution of spatial transcriptomics and computational pathology. Spatial omics methodologies map entire transcriptomes directly onto the physical architecture of the FFPE tissue section, preserving the geographic context of cellular interactions.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Executing these spatial projects requires rigorous sample quality control to ensure a high DV200 metric (the percentage of RNA fragments over 200 nucleotides), optimizing read depth and spot density to discover de novo tissue structures.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digitization of physical FFPE glass slides into high-resolution Whole Slide Images (WSI) has birthed the field of computational pathology.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These massive image datasets are processed utilizing state-of-the-art foundation models—large-scale deep neural networks trained via self-supervised learning on expansive pathology datasets.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Models such as Bioptimus's H-optimus-0, possessing 1.1 billion parameters, capture robust visual embeddings that automate tumor subtyping, disease detection, and quantitative biomarker analysis.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Deploying these highly complex computational tools requires modular software architecture, frequently utilizing application containers (e.g., Docker) to encapsulate bioinformatics workflows, ensuring reproducibility across diverse research environments.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Cross-Domain Adaptation: Translating Military Signal Strategies to FFPE Pipelines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severe stochastic noise and fragmentation inherent to FFPE data render traditional, linear bioinformatics tools highly inefficient. By synthesizing and adapting the data execution strategies of the military—specifically Electronic Warfare (EW) signal de-noising, MASINT collection principles, and VAULTIS data governance—the FFPE Project can radically enhance its analytical capabilities.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Military Signal De-noising for Genomic Artifact Removal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 of military Electronic Warfare, operations are dictated by the imperative to assert dominance over the electromagnetic spectrum.</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Forces must constantly isolate valid, critical signals—such as hostile radar locks or encrypted communications—from intense background noise and intentional adversary jamming.</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To achieve this, military EW platforms utilize advanced signal processing algorithms designed to raise the signal-to-noise ratio, mathematically filtering out decoy emissions and obfuscation technologies.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exact mathematical philosophy is highly applicable to the computational removal of FFPE sequencing artifacts. Recent advancements in bioinformatics, such as the Chrom-Sig tool, have demonstrated the profound efficacy of applying digital signal processing techniques directly to 1D genomic profiles, including ATAC-seq, ChIP-seq, and CUT&amp;RUN datasets.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By treating a raw genomic sequence as a continuous numerical signal, these tools apply algorithms such as the Discrete Fourier Transform (DFT) to convert the DNA signal into its frequency representation, subsequently computing its power spectrum.</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Utilizing alignment-free distance computations, Chrom-Sig can effectively decompose massive genomic datasets into discrete signal and noise components.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If explicitly engineered for FFPE variant pipelines, these military-derived signal processing techniques could systematically filter out the baseline noise generated by formalin-induced deamination. Much like an EW system utilizes dynamic thresholding to isolate valid radar signatures from ambient static, an FFPE genomic pipeline could utilize power spectrum analysis to differentiate true somatic structural variants from fixation artifacts, thereby eliminating false-positive variant calls and rescuing highly degraded historical samples that would otherwise be discarded.</w:t>
      </w:r>
      <w:r w:rsidDel="00000000" w:rsidR="00000000" w:rsidRPr="00000000">
        <w:rPr>
          <w:rFonts w:ascii="Google Sans" w:cs="Google Sans" w:eastAsia="Google Sans" w:hAnsi="Google Sans"/>
          <w:color w:val="444746"/>
          <w:sz w:val="24"/>
          <w:szCs w:val="24"/>
          <w:vertAlign w:val="superscript"/>
          <w:rtl w:val="0"/>
        </w:rPr>
        <w:t xml:space="preserve">62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Military Data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Adaptation to FFPE Genomic Pipelines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Analytical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Electronic Support Measures (ESM)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Profiling background mutation signatures specific to formalin fixation duration.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Establishment of a verifiable "noise floor" for historical biobanks.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Adaptive Radar De-noising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DFT algorithms (e.g., Chrom-Sig) for 1D genomic profiles.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decomposition of sequence data; isolation of true SNVs.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Measurement &amp; Signature Intelligence (MASINT)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Detection of sub-visual morphological phenotypes and spatial transcriptomic profiling.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of hidden prognostic biomarkers contextualized within the tumor microenvironment.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VAULTIS Data Governance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strict metadata tagging, provenance tracking, and open data standards.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historical FFPE cohorts are secure, visible, and trustworthy for AI foundation model training.</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MASINT and the Spatial Transcriptomic Microenvironment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Military Measurement and Signature Intelligence (MASINT) is uniquely focused on detecting the minute, distinctive physical characteristics of an entity—such as the thermal exhaust plume of a specific missile type or the acoustic signature of a submerged vessel.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the context of the FFPE Project, spatial transcriptomics functions as the biological equivalent of MASINT. While bulk sequencing provides a homogenized view of a tumor, spatial omics measure localized RNA expression against the physical tissue morphology, identifying the specific "signatures" of the tumor microenvironment.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adapting MASINT clustering and anomaly detection protocols to spatial pathology, bioinformaticians can correlate highly localized cellular communication networks with macroscopic disease progression, uncovering subtle therapeutic targets invisible to conventional sequencing.</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VAULTIS to Long-Term Biobank Stewardship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long-term viability and operational success of the FFPE Project rely heavily on the proper stewardship of millions of archived tissue samples.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military's VAULTIS framework provides an optimal organizational model for upgrading passive genomic repositories into dynamic, data-centric intelligence hubs.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the "Visible" and "Understandable" tenets of VAULTIS, biobanks must implement uncompromising, standardized metadata tagging.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Every digitized FFPE sample should be cataloged not merely by patient demographic, but by crucial pre-analytical variables: fixation duration, block age, cold ischemia time, and specific archival storage temperatures.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Enforcing the "Linked" and "Interoperable" tenets requires standardizing data formats—such as utilizing Fast Healthcare Interoperability Resources (FHIR) to connect genomic Variant Call Format (VCF) files directly with longitudinal patient Electronic Health Records (EHR).</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Furthermore, the assignment of strict Data Stewards, as mandated by the DoD, ensures that as historical samples are digitized into massive training arrays, their data pedigree and provenance remain fully documented and verifiable, satisfying the rigorous data-quality requirements necessary to train future clinical foundation models.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Adapting Financial HFT and Automation Architectures to FFPE Pipelines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digital pathology and high-throughput next-generation sequencing (NGS) generate multi-terabyte datasets per patient, clinical bioinformatics pipelines face severe computational bottlenecks. The sequential, batch-processing nature of current genomic analysis struggles to handle this immense throughput.</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The FFPE Project must adopt the architectural principles of Quantitative Finance—specifically High-Frequency Trading pipelines and automated decisioning logic—to achieve the necessary clinical execution velocity.</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Zero-Latency Pipelines and Real-Time Sequencer Quality Control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standard genomic data processing, raw sequence data is typically generated as massive FASTQ or BAM files. These files must undergo a computationally expensive alignment to the GRCh38 human reference genome and rigorous quality control using software tools like FASTQC.</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Traditional pipelines execute these steps in a linear, batch format, generating graphical outputs for "Per Base Sequence Quality" and subsequently halting the pipeline manually if the metrics fall below a designated threshold.</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adopting financial zero-copy architectures like the DDN IndustrySync platform, the FFPE pipeline can parallelize these processes entirely.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Instead of waiting for massive FASTQ files to write fully to a physical disk before initiating quality checks, the sequence data can be streamed directly into GPU-accelerated memory. Furthermore, the HFT outlier detection algorithms utilized to monitor market data feeds—such as the Continuous Pattern Outlier Detection (CPOD) or Extended Incremental Local Outlier Factor (EILOF)—can be deployed directly onto the genomic data stream in real-time.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sequencer hardware outputs raw base calls, EILOF algorithms could continuously calculate the anomaly score of the reads.</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If a sudden, statistically significant spike in sequencing errors, adapter contamination, or chemical degradation occurs, the streaming algorithm would flag the deviation instantaneously.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architecture allows the computational pipeline to dynamically trim low-quality reads in motion, or automatically halt a failing sequencing run before thousands of dollars in reagents and computing power are wasted—a mechanism perfectly mirroring how financial "kill-switches" autonomously halt algorithmic trading during a sudden flash crash.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Algorithmic Execution for Clinical Variant Reporting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phase of the financial data lifecycle—specifically the automated loan origination process—offers a profound architectural template for finalizing the FFPE data pipeline.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finance, Machine Learning models assess thousands of real-time variables to generate an instant, rules-based credit decision, relying heavily on Robotic Process Automation (RPA) to eliminate manual data entry.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clinical genomics, the final, most resource-intensive bottleneck is the manual interpretation of structural variants and the subsequent generation of an actionable clinical report.</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By implementing financial-style automated decisioning logic, the FFPE pipeline can execute deterministic, high-speed variant classification. Once the signal-processed pipeline identifies a valid FFPE variant, the system can automatically query integrated biomedical knowledge bases (e.g., ClinVar, COSMIC) using intelligent Retrieval-Augmented Generation (RAG) frameworks.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system would assess the variant's pathogenicity based on standardized regulatory rules, autonomously compile the clinical report, and instantly match the patient to appropriate targeted therapies.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This fully automated execution entirely eliminates manual transcription errors, mitigates subjective human interpretation bias, and drastically accelerates the delivery of precision oncology therapeutics to the patient.</w:t>
      </w:r>
      <w:r w:rsidDel="00000000" w:rsidR="00000000" w:rsidRPr="00000000">
        <w:rPr>
          <w:rFonts w:ascii="Google Sans" w:cs="Google Sans" w:eastAsia="Google Sans" w:hAnsi="Google Sans"/>
          <w:color w:val="444746"/>
          <w:sz w:val="24"/>
          <w:szCs w:val="24"/>
          <w:vertAlign w:val="superscript"/>
          <w:rtl w:val="0"/>
        </w:rPr>
        <w:t xml:space="preserve">41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HFT &amp; Automation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FFPE Genomics Pipeline Adaptation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Clinical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In-Memory Streaming (Zero-Copy)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FASTQ generation directly to memory-mapped alignment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massive disk I/O bottlenecks; drastically accelerates time-to-diagnosis.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CPOD / EILOF Algorithms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statistical monitoring of sequencing base-quality metrics.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Instantaneous identification of sequencer hardware failure or acute library degradation.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Tactical Asset Allocation (TAA)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provisioning of cloud compute resources based on pipeline 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Optimizes cloud expenditure during high-throughput sequencing bursts.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Loan Decisioning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Rules-based algorithmic variant annotation and clinical reporting.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Removes human cognitive bias; ensures 100% compliance with variant classification guidelines.</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OODA Loop and Multi-Modal Data Fusion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advancement in both military strategic intelligence and financial predictive modeling is the implementation of Multi-Modal Data Fusion.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the military, this involves fusing SIGINT, GEOINT, and cyber telemetry to create a unified operational picture; in finance, it involves fusing structured equity pricing with alternative data such as satellite imagery and social media sentiment.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the FFPE Project, realizing the full diagnostic potential of historical biobanks requires the deep, algorithmic fusion of multiple biomedical modalities.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Biomedical Data Fusion and Risk Stratification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Hematoxylin and Eosin (H&amp;E) stained slides offer profound morphological data, capturing cellular and extracellular matrix features, but they lack molecular specificity.</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Conversely, bulk DNA sequencing provides deep mutational data but inherently destroys the spatial and architectural context of the tumor.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next generation of clinical decision support systems will utilize deep learning networks to fuse these disparate data streams, synthesizing Whole Slide Images (WSI), genomic variant calls, spatial transcriptomics, electrophysiological data, and longitudinal Electronic Health Records (EHRs) into a singular, cohesive patient matrix.</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multi-modal fusion enables early, intermediate, and late-fusion analytical paradigms.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For instance, intermediate fusion architectures allow a deep learning model to correlate a specific, sub-visual morphological phenotype identified in a digitized H&amp;E slide directly with an underlying structural variant detected in the FFPE DNA.</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Such fusion drastically improves risk stratification, allowing clinicians to bypass the information asymmetry inherent in singular diagnostic tests and predict therapeutic responses with unprecedented accuracy.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Clinical OODA Loop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military tactical decision-making frameworks with high-velocity data fusion, the traditional, linear pathology workflow must be fundamentally restructured into a Clinical OODA Loop.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ensures that medical professionals maintain continuous, agile control over diagnostic outputs in increasingly complex data environments.</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Observe (Data Collection):</w:t>
      </w:r>
      <w:r w:rsidDel="00000000" w:rsidR="00000000" w:rsidRPr="00000000">
        <w:rPr>
          <w:rFonts w:ascii="Google Sans" w:cs="Google Sans" w:eastAsia="Google Sans" w:hAnsi="Google Sans"/>
          <w:color w:val="1f1f1f"/>
          <w:rtl w:val="0"/>
        </w:rPr>
        <w:t xml:space="preserve"> The cycle begins with the high-throughput digitization of the FFPE sample. Advanced scanners generate gigapixel WSIs, while next-generation sequencers output massive sequence datasets.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system operates as a comprehensive, multi-modal sensor network, continuously pulling biological data into the architecture.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Orient (Data Processing &amp; Fusion):</w:t>
      </w:r>
      <w:r w:rsidDel="00000000" w:rsidR="00000000" w:rsidRPr="00000000">
        <w:rPr>
          <w:rFonts w:ascii="Google Sans" w:cs="Google Sans" w:eastAsia="Google Sans" w:hAnsi="Google Sans"/>
          <w:color w:val="1f1f1f"/>
          <w:rtl w:val="0"/>
        </w:rPr>
        <w:t xml:space="preserve"> Raw data undergoes extreme algorithmic refinement. Military-style signal de-noising algorithms (e.g., Chrom-Sig adaptations) isolate true molecular signals from formalin-induced background noise.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Simultaneously, foundational models (e.g., H-optimus-0) extract morphological features from the WSI.</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These disparate data modalities are mathematically fused to establish the patient's precise, multidimensional biological state.</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Decide (Algorithmic Triage):</w:t>
      </w:r>
      <w:r w:rsidDel="00000000" w:rsidR="00000000" w:rsidRPr="00000000">
        <w:rPr>
          <w:rFonts w:ascii="Google Sans" w:cs="Google Sans" w:eastAsia="Google Sans" w:hAnsi="Google Sans"/>
          <w:color w:val="1f1f1f"/>
          <w:rtl w:val="0"/>
        </w:rPr>
        <w:t xml:space="preserve"> Utilizing architectures analogous to financial credit-scoring models, the system runs predictive analytics to assess therapeutic efficacy.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AI cross-references the fused patient profile against massive external databases, generating probabilistic risk scores and recommending the optimal targeted therapy.</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 (Clinical Execution):</w:t>
      </w:r>
      <w:r w:rsidDel="00000000" w:rsidR="00000000" w:rsidRPr="00000000">
        <w:rPr>
          <w:rFonts w:ascii="Google Sans" w:cs="Google Sans" w:eastAsia="Google Sans" w:hAnsi="Google Sans"/>
          <w:color w:val="1f1f1f"/>
          <w:rtl w:val="0"/>
        </w:rPr>
        <w:t xml:space="preserve"> The automated pipeline generates a highly structured, FHIR-compliant clinical report, integrating the morphological imagery, genomic variant calls, and actionable therapeutic recommendations.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The oncologist initiates the treatment, and the patient's resulting response metrics are fed back into the system, restarting the OODA loop and refining the foundational model's long-term predictive accuracy.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Meaningful Human Control in Medical Execution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FFPE Project approaches fully automated execution, the concept of Meaningful Human Control (MHC)—or the Human-in-the-loop (HITL)—becomes an urgent ethical and operational imperative.</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In military autonomous weapons systems and financial algorithmic trading, unchecked automation risks catastrophic, unrecoverable failure.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the medical context, relegating the pathologist or oncologist to a mere "validator" of opaque AI outputs creates a dangerous epistemic imbalance, prioritizing technical optimization over clinical reality, patient autonomy, and legal accountability.</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Clinical OODA Loop must be explicitly engineered as a human-autonomy teaming system rather than an autonomous replacement.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Explainable AI (XAI) techniques must be integrated directly into the multi-modal fusion layer, ensuring that the algorithmic reasoning behind a variant classification or tumor subtyping is entirely transparent to the attending physician.</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By establishing clear tracking and tracing criteria for the "Decide" phase, pathologists retain executive authority, utilizing the AI systems as advanced cognitive sensors rather than primary diagnostic agents, thereby preserving the moral and legal integrity of the medical profession.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Convergence and National Security Implications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Executing sensitive data at high velocities across interdisciplinary domains inevitably triggers severe regulatory constraints. Historically, these constraints have been siloed: financial data governed by the Securities and Exchange Commission (SEC), military data protected by strict national security classification protocols, and healthcare data regulated by the Health Insurance Portability and Accountability Act (HIPAA).</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recent legislative developments reveal a stark convergence in how these sectors must handle data security, driven by the proliferation of the data broker industry and the vulnerabilities of artificial intelligence models.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The issuance and execution of Executive Order 14117 severely restricts the transfer of bulk U.S. sensitive personal data to countries of concern.</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Crucially, this order explicitly includes human 'omic data, biometric identifiers, precise geolocation data, and anonymized health records.</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This legislation demonstrates that genomic data extracted from FFPE cohorts is now legally treated as a critical national security asset, analogous to military service personnel intelligence and sensitive financial profiles.</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Department of Justice mandates that even de-identified or encrypted health data falls under these strict restrictions, with penalties for willful breaches including fines of up to $368,136 per violation and potential imprisonment.</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Consequently, healthcare organizations running FFPE bioinformatics pipelines are now forced to implement advanced cyber defense mechanisms, Zero Trust architectures, and rigorous supply chain screenings historically reserved exclusively for defense contractors.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Furthermore, regulatory bodies such as the Federal Trade Commission (FTC) and the Consumer Financial Protection Bureau (CFPB) are increasingly scrutinizing the re-identification of seemingly anonymous data, demanding profound transparency in data handling.</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navigate this highly restricted environment, the FFPE Project must adopt uncompromising Data Provenance standards. As highlighted by the Data and Trust Alliance—a consortium of leading Fortune 500 corporations—the trustworthiness and legality of AI training rely entirely on verifiable metadata tracing a dataset's origin, transformation history, privacy protections, and ownership chain.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Implementing cryptographic hashes, immutable version control, and strict lineage tracking for every digitized FFPE slide and genomic sequence ensures that the resulting clinical foundation models are immune to data poisoning attacks.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exhaustive provenance documentation guarantees that the FFPE Project remains fully compliant with impending federal cybersecurity mandates while maintaining the competitive advantage in global biomedical innovation.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Formalin-Fixed Paraffin-Embedded (FFPE) Project sits at the precise nexus of extraordinary biomedical potential and profound data complexity. Unlocking the vast repositories of historical tissue biopsies requires analytical architectures capable of parsing highly degraded, noisy genomic signals while simultaneously managing multi-terabyte spatial and morphological datasets. The strategic integration of military and financial data execution frameworks offers an optimal, cross-domain path forward.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adapting military Electronic Warfare signal processing algorithms, bioinformatics pipelines can systematically de-noise fragmented genomic profiles, mathematically isolating and rescuing critical structural variant data from chemical artifacts. Implementing the military's OODA Loop ensures that clinical pathology workflows remain agile, utilizing multi-modal data fusion while meticulously preserving meaningful human control and ethical oversight. Furthermore, integrating financial High-Frequency Trading architectures—such as zero-copy data streaming, real-time statistical outlier detection, and automated rules-based decisioning—will eliminate current computational bottlenecks, enabling instantaneous quality control and flawless variant reporting. Ultimately, applying these sophisticated cross-domain strategies transforms the FFPE Project from a passive, retrospective archival effort into a high-velocity, precision-execution engine, radically accelerating the delivery of actionable intelligence in the fight against complex disease while maintaining absolute adherence to emerging national security and data provenance regulations.</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HESI eSTAR: Genomics from Formalin-Fixed Paraffin Embedded Tissue Samples (Dr. Leah Wehmas) - YouTube, accessed March 20,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https://www.youtube.com/watch?v=R0CuCv2ebjo</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 Genomics from Formalin-Fixed Paraffin Embedded Tissue ...,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https://hesiglobal.org/event/estar-webinar-2023-02-21/</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critical spotlight on the paradigms of FFPE-DNA sequencing - PMC,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https://pmc.ncbi.nlm.nih.gov/articles/PMC10415133/</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FFPE | Enhance Cancer Genomics - Get Accurate Results,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https://cantatabio.com/ffpe</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Transcriptomics Cancer Research: 4 Core Strategies - CD Genomics,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https://www.spatial-omicslab.com/resource/spatial-transcriptomics-cancer-strategies.html</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Intelligence Cycle,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https://irp.fas.org/cia/product/facttell/intcycle.htm</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an OODA Loop and How to Use It | Miro,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https://miro.com/strategic-planning/what-is-ooda-loop/</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Modernizing Military Decision-Making: Integrating AI into Army ...,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https://www.armyupress.army.mil/Journals/Military-Review/Online-Exclusive/2025-OLE/Modernizing-Military-Decision-Making/</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lifecycle: 6 core stages, use cases &amp; tips - Twilio,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https://www.twilio.com/en-us/blog/insights/data/data-life-cycle</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Data Edge in High-Frequency Trading with DDN,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https://www.ddn.com/blog/data-architecture-hft-competitive-edge/</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Automated Loan Decisioning - MeridianLink,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https://www.meridianlink.com/blog/the-power-of-automated-loan-decisioning/</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loan approval process for faster lending services: Blog,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https://www.biz2x.com/loan-origination-software/the-future-of-small-business-lending-why-the-automated-loan/</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Intelligence cycle - Wikipedia,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https://en.wikipedia.org/wiki/Intelligence_cycle</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IMINT? How It Works and Why It's Useful for Security | American Public University,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https://www.apu.apus.edu/area-of-study/intelligence/resources/what-is-imint/</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Collection Techniques That Intelligence Analysts Use,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https://www.augusta.edu/online/blog/data-collection-techniques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Signals Intelligence (SIGINT) Systems | L3Harris® Fast. Forward.,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https://www.l3harris.com/all-capabilities/signals-intelligence-sigint-systems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 and signature intelligence - Wikipedia,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https://en.wikipedia.org/wiki/Measurement_and_signature_intelligence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 Management for Tactical Surveillance Operations - DTIC,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https://apps.dtic.mil/sti/tr/pdf/ADA475273.pdf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Fully Autonomous Casualty Care on the Future Battlefield - Oxford Academic,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https://academic.oup.com/milmed/article/190/3-4/81/7726880</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for Modular Remote Expendable Sensor Array - Army SBIR|STTR Program,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https://armysbir.army.mil/topics/algorithms-for-modular-remote-expendable-sensor-array/</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Tactical Edge Sensor Fusion at Scale - Ambush,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https://www.getambush.com/article/tactical-edge-sensor-fusion-at-scale/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Sensor Management for Tactical Surveillance Operations - ResearchGate,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https://www.researchgate.net/publication/235194212_Sensor_Management_for_Tactical_Surveillance_Operations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OODA Loop - The Decision Lab,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https://thedecisionlab.com/reference-guide/computer-science/the-ooda-loop</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OODA loop - Wikipedia,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https://en.wikipedia.org/wiki/OODA_loop</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training to battlefield: How AI is redefining India’s military capabilities,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https://indianexpress.com/article/cities/pune/training-battlefield-ai-india-military-capabilities-10592861/</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Trusting machine intelligence: artificial intelligence and human-autonomy teaming in military operations - Taylor &amp; Francis,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https://www.tandfonline.com/doi/full/10.1080/14751798.2023.2264070</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Battlefield Algorithm | Leveraging Predictive Analytics in Contested Environments - Army.mil,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https://www.army.mil/article/282483/battlefield_algorithm_leveraging_predictive_analytics_in_contested_environments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DOD Data Strategy - War.gov,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https://media.defense.gov/2020/Oct/08/2002514180/-1/-1/0/DOD-DATA-STRATEGY.PDF</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Lay the Foundation for Data and AI Adoption in DoD - Denodo,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https://www.denodo.com/system/files/document-attachments/denodo_how-to-lay-foundation-for-data-ai-dod.pdf?I=&amp;utm_source-ForresterDS=</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DoD Metadata Guidance.pdf - Chief Digital and Artificial Intelligence Office,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https://www.ai.mil/Portals/137/Documents/Resources%20Page/DoD%20Metadata%20Guidance.pdf</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Defense Chief Data Officer DoD Data Stewardship Guidebook - Chief Digital and Artificial Intelligence Office,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https://www.ai.mil/Portals/137/Documents/Resources%20Page/DoD%20Data%20Stewardship%20Guidebook.pdf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on Designating Authoritative Data Sets - AI.mil,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https://www.ai.mil/Portals/137/Documents/Resources%20Page/Guidance%20on%20Designating%20Authoritative%20Data%20Sets.pdf</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Provenance in AI | ANALYSIS - Data Foundation,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https://datafoundation.org/news/reports/697/697-Data-Provenance-in-AI</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Defense-in-Depth Strategy for the AI Lifecycle | by Tahir | Medium,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https://medium.com/@tahirbalarabe2/%EF%B8%8Fdefense-in-depth-strategy-for-the-ai-lifecycle-7777c7ce2fb2</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8 Stages of Data Lifecycle Management + Free Webinar - Scilife,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https://www.scilife.io/blog/stages-data-lifecycle-management</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Steps in the Data Life Cycle | HBS Online,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https://online.hbs.edu/blog/post/data-life-cycle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HFT architecture : r/highfreqtrading - Reddit,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https://www.reddit.com/r/highfreqtrading/comments/1m76uc2/general_hft_architecture/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Distance-Based Outlier Detection in Data Streams - VLDB Endowment Inc.,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http://vldb.org/pvldb/vol14/p141-tran.pdf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Outlier Detection in Fast-Moving Data Streams, accessed March 20, 2026, </w:t>
      </w:r>
      <w:hyperlink r:id="rId44">
        <w:r w:rsidDel="00000000" w:rsidR="00000000" w:rsidRPr="00000000">
          <w:rPr>
            <w:rFonts w:ascii="Google Sans" w:cs="Google Sans" w:eastAsia="Google Sans" w:hAnsi="Google Sans"/>
            <w:color w:val="0000ee"/>
            <w:sz w:val="24"/>
            <w:szCs w:val="24"/>
            <w:u w:val="single"/>
            <w:rtl w:val="0"/>
          </w:rPr>
          <w:t xml:space="preserve">https://ejournal.gomit.id/ijaaiml/article/download/287/400</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Outlier Detection Algorithm for Data Streaming - arXiv, accessed March 20, 2026, </w:t>
      </w:r>
      <w:hyperlink r:id="rId45">
        <w:r w:rsidDel="00000000" w:rsidR="00000000" w:rsidRPr="00000000">
          <w:rPr>
            <w:rFonts w:ascii="Google Sans" w:cs="Google Sans" w:eastAsia="Google Sans" w:hAnsi="Google Sans"/>
            <w:color w:val="0000ee"/>
            <w:sz w:val="24"/>
            <w:szCs w:val="24"/>
            <w:u w:val="single"/>
            <w:rtl w:val="0"/>
          </w:rPr>
          <w:t xml:space="preserve">https://arxiv.org/html/2501.01061v1</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Loan Default Prediction: A Machine Learning Approach for Enhancing Business Process Management - MDPI, accessed March 20, 2026, </w:t>
      </w:r>
      <w:hyperlink r:id="rId46">
        <w:r w:rsidDel="00000000" w:rsidR="00000000" w:rsidRPr="00000000">
          <w:rPr>
            <w:rFonts w:ascii="Google Sans" w:cs="Google Sans" w:eastAsia="Google Sans" w:hAnsi="Google Sans"/>
            <w:color w:val="0000ee"/>
            <w:sz w:val="24"/>
            <w:szCs w:val="24"/>
            <w:u w:val="single"/>
            <w:rtl w:val="0"/>
          </w:rPr>
          <w:t xml:space="preserve">https://www.mdpi.com/2079-8954/13/7/581</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Outliers in Streaming Data: Techniques and Real-World Applications - Medium, accessed March 20, 2026, </w:t>
      </w:r>
      <w:hyperlink r:id="rId47">
        <w:r w:rsidDel="00000000" w:rsidR="00000000" w:rsidRPr="00000000">
          <w:rPr>
            <w:rFonts w:ascii="Google Sans" w:cs="Google Sans" w:eastAsia="Google Sans" w:hAnsi="Google Sans"/>
            <w:color w:val="0000ee"/>
            <w:sz w:val="24"/>
            <w:szCs w:val="24"/>
            <w:u w:val="single"/>
            <w:rtl w:val="0"/>
          </w:rPr>
          <w:t xml:space="preserve">https://medium.com/@siddharthapramanik771/detecting-outliers-in-streaming-data-techniques-and-real-world-applications-88aace03f067</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For Extensive Financial Analysis | Data Analytics - LSEG, accessed March 20, 2026, </w:t>
      </w:r>
      <w:hyperlink r:id="rId48">
        <w:r w:rsidDel="00000000" w:rsidR="00000000" w:rsidRPr="00000000">
          <w:rPr>
            <w:rFonts w:ascii="Google Sans" w:cs="Google Sans" w:eastAsia="Google Sans" w:hAnsi="Google Sans"/>
            <w:color w:val="0000ee"/>
            <w:sz w:val="24"/>
            <w:szCs w:val="24"/>
            <w:u w:val="single"/>
            <w:rtl w:val="0"/>
          </w:rPr>
          <w:t xml:space="preserve">https://www.lseg.com/en/data-analytics/financial-data/alternative-data</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Alternative Data Craze: Peering Behind the Curtain - GARP, accessed March 20, 2026, </w:t>
      </w:r>
      <w:hyperlink r:id="rId49">
        <w:r w:rsidDel="00000000" w:rsidR="00000000" w:rsidRPr="00000000">
          <w:rPr>
            <w:rFonts w:ascii="Google Sans" w:cs="Google Sans" w:eastAsia="Google Sans" w:hAnsi="Google Sans"/>
            <w:color w:val="0000ee"/>
            <w:sz w:val="24"/>
            <w:szCs w:val="24"/>
            <w:u w:val="single"/>
            <w:rtl w:val="0"/>
          </w:rPr>
          <w:t xml:space="preserve">https://www.garp.org/risk-intelligence/technology/the-alternative-data-craze-peering-behind-the-curtain</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Alternative Data Providers Are Shaping the Next Era of Market Intelligence, accessed March 20, 2026, </w:t>
      </w:r>
      <w:hyperlink r:id="rId50">
        <w:r w:rsidDel="00000000" w:rsidR="00000000" w:rsidRPr="00000000">
          <w:rPr>
            <w:rFonts w:ascii="Google Sans" w:cs="Google Sans" w:eastAsia="Google Sans" w:hAnsi="Google Sans"/>
            <w:color w:val="0000ee"/>
            <w:sz w:val="24"/>
            <w:szCs w:val="24"/>
            <w:u w:val="single"/>
            <w:rtl w:val="0"/>
          </w:rPr>
          <w:t xml:space="preserve">https://blog.getaura.ai/alternative-data-providers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sources : r/quant - Reddit, accessed March 20, 2026, </w:t>
      </w:r>
      <w:hyperlink r:id="rId51">
        <w:r w:rsidDel="00000000" w:rsidR="00000000" w:rsidRPr="00000000">
          <w:rPr>
            <w:rFonts w:ascii="Google Sans" w:cs="Google Sans" w:eastAsia="Google Sans" w:hAnsi="Google Sans"/>
            <w:color w:val="0000ee"/>
            <w:sz w:val="24"/>
            <w:szCs w:val="24"/>
            <w:u w:val="single"/>
            <w:rtl w:val="0"/>
          </w:rPr>
          <w:t xml:space="preserve">https://www.reddit.com/r/quant/comments/1f88qgk/alternative_data_sources/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Alternative Data: Finding Hidden Investment Opportunities - Tribe AI, accessed March 20, 2026, </w:t>
      </w:r>
      <w:hyperlink r:id="rId52">
        <w:r w:rsidDel="00000000" w:rsidR="00000000" w:rsidRPr="00000000">
          <w:rPr>
            <w:rFonts w:ascii="Google Sans" w:cs="Google Sans" w:eastAsia="Google Sans" w:hAnsi="Google Sans"/>
            <w:color w:val="0000ee"/>
            <w:sz w:val="24"/>
            <w:szCs w:val="24"/>
            <w:u w:val="single"/>
            <w:rtl w:val="0"/>
          </w:rPr>
          <w:t xml:space="preserve">https://www.tribe.ai/applied-ai/ai-powered-alternative-data</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vs. Tactical Asset Allocation - Investing - SmartAsset, accessed March 20, 2026, </w:t>
      </w:r>
      <w:hyperlink r:id="rId53">
        <w:r w:rsidDel="00000000" w:rsidR="00000000" w:rsidRPr="00000000">
          <w:rPr>
            <w:rFonts w:ascii="Google Sans" w:cs="Google Sans" w:eastAsia="Google Sans" w:hAnsi="Google Sans"/>
            <w:color w:val="0000ee"/>
            <w:sz w:val="24"/>
            <w:szCs w:val="24"/>
            <w:u w:val="single"/>
            <w:rtl w:val="0"/>
          </w:rPr>
          <w:t xml:space="preserve">https://smartasset.com/investing/strategic-vs-tactical-asset-allocation</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Styles: Active vs Passive, Strategic vs Tactical - Kitces.com, accessed March 20, 2026, </w:t>
      </w:r>
      <w:hyperlink r:id="rId54">
        <w:r w:rsidDel="00000000" w:rsidR="00000000" w:rsidRPr="00000000">
          <w:rPr>
            <w:rFonts w:ascii="Google Sans" w:cs="Google Sans" w:eastAsia="Google Sans" w:hAnsi="Google Sans"/>
            <w:color w:val="0000ee"/>
            <w:sz w:val="24"/>
            <w:szCs w:val="24"/>
            <w:u w:val="single"/>
            <w:rtl w:val="0"/>
          </w:rPr>
          <w:t xml:space="preserve">https://www.kitces.com/blog/active-passive-strategic-tactical-whats-your-investment-management-style/</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Tactical Asset Allocation: The Flexibility Advantage - CFA Institute Enterprising Investor, accessed March 20, 2026, </w:t>
      </w:r>
      <w:hyperlink r:id="rId55">
        <w:r w:rsidDel="00000000" w:rsidR="00000000" w:rsidRPr="00000000">
          <w:rPr>
            <w:rFonts w:ascii="Google Sans" w:cs="Google Sans" w:eastAsia="Google Sans" w:hAnsi="Google Sans"/>
            <w:color w:val="0000ee"/>
            <w:sz w:val="24"/>
            <w:szCs w:val="24"/>
            <w:u w:val="single"/>
            <w:rtl w:val="0"/>
          </w:rPr>
          <w:t xml:space="preserve">https://blogs.cfainstitute.org/investor/2022/02/10/tactical-asset-allocation-the-flexibility-advantage/</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Modern Portfolio Theory: Strategic vs. Tactical Asset Allocation, accessed March 20, 2026, </w:t>
      </w:r>
      <w:hyperlink r:id="rId56">
        <w:r w:rsidDel="00000000" w:rsidR="00000000" w:rsidRPr="00000000">
          <w:rPr>
            <w:rFonts w:ascii="Google Sans" w:cs="Google Sans" w:eastAsia="Google Sans" w:hAnsi="Google Sans"/>
            <w:color w:val="0000ee"/>
            <w:sz w:val="24"/>
            <w:szCs w:val="24"/>
            <w:u w:val="single"/>
            <w:rtl w:val="0"/>
          </w:rPr>
          <w:t xml:space="preserve">https://www.4tfg.com/resources/rethinking-modern-portfolio-theory-strategic-vs.-tactical-asset-allocation</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Automated Loan Processing and How to Get Started - Heron Data, accessed March 20, 2026, </w:t>
      </w:r>
      <w:hyperlink r:id="rId57">
        <w:r w:rsidDel="00000000" w:rsidR="00000000" w:rsidRPr="00000000">
          <w:rPr>
            <w:rFonts w:ascii="Google Sans" w:cs="Google Sans" w:eastAsia="Google Sans" w:hAnsi="Google Sans"/>
            <w:color w:val="0000ee"/>
            <w:sz w:val="24"/>
            <w:szCs w:val="24"/>
            <w:u w:val="single"/>
            <w:rtl w:val="0"/>
          </w:rPr>
          <w:t xml:space="preserve">https://www.herondata.io/blog/automated-loan-processing</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0: Comprehensive AI-Driven Loan Approval System — Detailed Architecture &amp; Implementation | by Shekhar Manna | Medium, accessed March 20, 2026, </w:t>
      </w:r>
      <w:hyperlink r:id="rId58">
        <w:r w:rsidDel="00000000" w:rsidR="00000000" w:rsidRPr="00000000">
          <w:rPr>
            <w:rFonts w:ascii="Google Sans" w:cs="Google Sans" w:eastAsia="Google Sans" w:hAnsi="Google Sans"/>
            <w:color w:val="0000ee"/>
            <w:sz w:val="24"/>
            <w:szCs w:val="24"/>
            <w:u w:val="single"/>
            <w:rtl w:val="0"/>
          </w:rPr>
          <w:t xml:space="preserve">https://medium.com/@shekhar.manna83/part-0-comprehensive-ai-driven-loan-approval-system-detailed-architecture-implementation-156952182294</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 Future Uses of the Department of Defense Joint Pathology Center Biorepository - NCBI Bookshelf, accessed March 20, 2026, </w:t>
      </w:r>
      <w:hyperlink r:id="rId59">
        <w:r w:rsidDel="00000000" w:rsidR="00000000" w:rsidRPr="00000000">
          <w:rPr>
            <w:rFonts w:ascii="Google Sans" w:cs="Google Sans" w:eastAsia="Google Sans" w:hAnsi="Google Sans"/>
            <w:color w:val="0000ee"/>
            <w:sz w:val="24"/>
            <w:szCs w:val="24"/>
            <w:u w:val="single"/>
            <w:rtl w:val="0"/>
          </w:rPr>
          <w:t xml:space="preserve">https://www.ncbi.nlm.nih.gov/books/NBK236821/</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Uses of the Department of Defense Joint Pathology Center Biorepository (2012), accessed March 20, 2026, </w:t>
      </w:r>
      <w:hyperlink r:id="rId60">
        <w:r w:rsidDel="00000000" w:rsidR="00000000" w:rsidRPr="00000000">
          <w:rPr>
            <w:rFonts w:ascii="Google Sans" w:cs="Google Sans" w:eastAsia="Google Sans" w:hAnsi="Google Sans"/>
            <w:color w:val="0000ee"/>
            <w:sz w:val="24"/>
            <w:szCs w:val="24"/>
            <w:u w:val="single"/>
            <w:rtl w:val="0"/>
          </w:rPr>
          <w:t xml:space="preserve">https://www.nationalacademies.org/read/13443/chapter/3</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Successful restoration of archived ovine formalin fixed paraffin ..., accessed March 20,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https://pmc.ncbi.nlm.nih.gov/articles/PMC9873697/</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Multi-modality artificial intelligence in digital pathology - PMC - NIH, accessed March 20, 2026,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https://pmc.ncbi.nlm.nih.gov/articles/PMC9677480/</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FFPE in modern tissue analysis: Applications and advancements - Abcam, accessed March 20, 2026, </w:t>
      </w:r>
      <w:hyperlink r:id="rId63">
        <w:r w:rsidDel="00000000" w:rsidR="00000000" w:rsidRPr="00000000">
          <w:rPr>
            <w:rFonts w:ascii="Google Sans" w:cs="Google Sans" w:eastAsia="Google Sans" w:hAnsi="Google Sans"/>
            <w:color w:val="0000ee"/>
            <w:sz w:val="24"/>
            <w:szCs w:val="24"/>
            <w:u w:val="single"/>
            <w:rtl w:val="0"/>
          </w:rPr>
          <w:t xml:space="preserve">https://www.abcam.com/en-us/knowledge-center/immunohistochemistry/ffpe-in-modern-tissue-analysis</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digital pathology slide annotation workflows on AWS using H-optimus-0, accessed March 20, 2026, </w:t>
      </w:r>
      <w:hyperlink r:id="rId64">
        <w:r w:rsidDel="00000000" w:rsidR="00000000" w:rsidRPr="00000000">
          <w:rPr>
            <w:rFonts w:ascii="Google Sans" w:cs="Google Sans" w:eastAsia="Google Sans" w:hAnsi="Google Sans"/>
            <w:color w:val="0000ee"/>
            <w:sz w:val="24"/>
            <w:szCs w:val="24"/>
            <w:u w:val="single"/>
            <w:rtl w:val="0"/>
          </w:rPr>
          <w:t xml:space="preserve">https://aws.amazon.com/blogs/machine-learning/accelerate-digital-pathology-slide-annotation-workflows-on-aws-using-h-optimus-0/</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Supporting the Application of Computational Pathology in Oncology - Friends of Cancer Research, accessed March 20, 2026, </w:t>
      </w:r>
      <w:hyperlink r:id="rId65">
        <w:r w:rsidDel="00000000" w:rsidR="00000000" w:rsidRPr="00000000">
          <w:rPr>
            <w:rFonts w:ascii="Google Sans" w:cs="Google Sans" w:eastAsia="Google Sans" w:hAnsi="Google Sans"/>
            <w:color w:val="0000ee"/>
            <w:sz w:val="24"/>
            <w:szCs w:val="24"/>
            <w:u w:val="single"/>
            <w:rtl w:val="0"/>
          </w:rPr>
          <w:t xml:space="preserve">https://friendsofcancerresearch.org/publication/supporting-the-application-of-computational-pathology-in-oncology/</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Application Containers and Workflows for Genomic Data Analysis - PubMed, accessed March 20, 2026, </w:t>
      </w:r>
      <w:hyperlink r:id="rId66">
        <w:r w:rsidDel="00000000" w:rsidR="00000000" w:rsidRPr="00000000">
          <w:rPr>
            <w:rFonts w:ascii="Google Sans" w:cs="Google Sans" w:eastAsia="Google Sans" w:hAnsi="Google Sans"/>
            <w:color w:val="0000ee"/>
            <w:sz w:val="24"/>
            <w:szCs w:val="24"/>
            <w:u w:val="single"/>
            <w:rtl w:val="0"/>
          </w:rPr>
          <w:t xml:space="preserve">https://pubmed.ncbi.nlm.nih.gov/28163975/</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Warfare: Vying for Control of the Electromagnetic Spectrum, accessed March 20, 2026, </w:t>
      </w:r>
      <w:hyperlink r:id="rId67">
        <w:r w:rsidDel="00000000" w:rsidR="00000000" w:rsidRPr="00000000">
          <w:rPr>
            <w:rFonts w:ascii="Google Sans" w:cs="Google Sans" w:eastAsia="Google Sans" w:hAnsi="Google Sans"/>
            <w:color w:val="0000ee"/>
            <w:sz w:val="24"/>
            <w:szCs w:val="24"/>
            <w:u w:val="single"/>
            <w:rtl w:val="0"/>
          </w:rPr>
          <w:t xml:space="preserve">https://incompliancemag.com/electronic-warfare-vying-for-control-of-the-electromagnetic-spectrum/</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 Storage Issue: The Clash Between - from MIPB, accessed March 20, 2026, </w:t>
      </w:r>
      <w:hyperlink r:id="rId68">
        <w:r w:rsidDel="00000000" w:rsidR="00000000" w:rsidRPr="00000000">
          <w:rPr>
            <w:rFonts w:ascii="Google Sans" w:cs="Google Sans" w:eastAsia="Google Sans" w:hAnsi="Google Sans"/>
            <w:color w:val="0000ee"/>
            <w:sz w:val="24"/>
            <w:szCs w:val="24"/>
            <w:u w:val="single"/>
            <w:rtl w:val="0"/>
          </w:rPr>
          <w:t xml:space="preserve">https://mipb.ikn.army.mil/media/lkwbguxj/2023-07-12-schott_ew_online.pdf</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Army expects to mature electromagnetic spectrum decoy and obfuscation systems in FY '25, accessed March 20, 2026, </w:t>
      </w:r>
      <w:hyperlink r:id="rId69">
        <w:r w:rsidDel="00000000" w:rsidR="00000000" w:rsidRPr="00000000">
          <w:rPr>
            <w:rFonts w:ascii="Google Sans" w:cs="Google Sans" w:eastAsia="Google Sans" w:hAnsi="Google Sans"/>
            <w:color w:val="0000ee"/>
            <w:sz w:val="24"/>
            <w:szCs w:val="24"/>
            <w:u w:val="single"/>
            <w:rtl w:val="0"/>
          </w:rPr>
          <w:t xml:space="preserve">https://defensescoop.com/2024/03/22/army-electromagnetic-spectrum-decoy-obfuscation-systems-2025/</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Chrom-Sig: de-noising 1-dimensional genomic profiles by signal processing methods - PubMed, accessed March 20, 2026, </w:t>
      </w:r>
      <w:hyperlink r:id="rId70">
        <w:r w:rsidDel="00000000" w:rsidR="00000000" w:rsidRPr="00000000">
          <w:rPr>
            <w:rFonts w:ascii="Google Sans" w:cs="Google Sans" w:eastAsia="Google Sans" w:hAnsi="Google Sans"/>
            <w:color w:val="0000ee"/>
            <w:sz w:val="24"/>
            <w:szCs w:val="24"/>
            <w:u w:val="single"/>
            <w:rtl w:val="0"/>
          </w:rPr>
          <w:t xml:space="preserve">https://pubmed.ncbi.nlm.nih.gov/41325270/</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Chrom-Sig: de-noising 1D genomic profiles by signal processing ..., accessed March 20, 2026,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https://pmc.ncbi.nlm.nih.gov/articles/PMC12715305/</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Chrom-Sig: de-noising 1-dimensional genomic profiles by signal processing methods - PMC, accessed March 20, 2026,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https://pmc.ncbi.nlm.nih.gov/articles/PMC12363972/</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Genomic Signal Processing Methods for Computation of Alignment-Free Distances from DNA Sequences - PMC, accessed March 20, 2026,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https://pmc.ncbi.nlm.nih.gov/articles/PMC4230918/</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Denoising of Aligned Genomic Data | bioRxiv, accessed March 20, 2026, </w:t>
      </w:r>
      <w:hyperlink r:id="rId74">
        <w:r w:rsidDel="00000000" w:rsidR="00000000" w:rsidRPr="00000000">
          <w:rPr>
            <w:rFonts w:ascii="Google Sans" w:cs="Google Sans" w:eastAsia="Google Sans" w:hAnsi="Google Sans"/>
            <w:color w:val="0000ee"/>
            <w:sz w:val="24"/>
            <w:szCs w:val="24"/>
            <w:u w:val="single"/>
            <w:rtl w:val="0"/>
          </w:rPr>
          <w:t xml:space="preserve">https://www.biorxiv.org/content/10.1101/590372v1</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FHIR Genomics for Research – From Sequencing to Database - PMC, accessed March 20, 2026,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https://pmc.ncbi.nlm.nih.gov/articles/PMC9285172/</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Healthcare Interoperability Resources (FHIR)–Based Quality Information Exchange for Clinical Next-Generation Sequencing Genomic Testing: Implementation Study, accessed March 20, 2026, </w:t>
      </w:r>
      <w:hyperlink r:id="rId76">
        <w:r w:rsidDel="00000000" w:rsidR="00000000" w:rsidRPr="00000000">
          <w:rPr>
            <w:rFonts w:ascii="Google Sans" w:cs="Google Sans" w:eastAsia="Google Sans" w:hAnsi="Google Sans"/>
            <w:color w:val="0000ee"/>
            <w:sz w:val="24"/>
            <w:szCs w:val="24"/>
            <w:u w:val="single"/>
            <w:rtl w:val="0"/>
          </w:rPr>
          <w:t xml:space="preserve">https://www.jmir.org/2021/4/e26261/</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Genomic Data Processing, accessed March 20, 2026, </w:t>
      </w:r>
      <w:hyperlink r:id="rId77">
        <w:r w:rsidDel="00000000" w:rsidR="00000000" w:rsidRPr="00000000">
          <w:rPr>
            <w:rFonts w:ascii="Google Sans" w:cs="Google Sans" w:eastAsia="Google Sans" w:hAnsi="Google Sans"/>
            <w:color w:val="0000ee"/>
            <w:sz w:val="24"/>
            <w:szCs w:val="24"/>
            <w:u w:val="single"/>
            <w:rtl w:val="0"/>
          </w:rPr>
          <w:t xml:space="preserve">https://gdc.cancer.gov/about-data/gdc-data-processing/genomic-data-processing</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Genomics pipelines and data integration: challenges and opportunities in the research setting - PMC, accessed March 20,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https://pmc.ncbi.nlm.nih.gov/articles/PMC5580401/</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algorithm for online outlier detection of a generic time series - Cross Validated, accessed March 20, 2026, </w:t>
      </w:r>
      <w:hyperlink r:id="rId79">
        <w:r w:rsidDel="00000000" w:rsidR="00000000" w:rsidRPr="00000000">
          <w:rPr>
            <w:rFonts w:ascii="Google Sans" w:cs="Google Sans" w:eastAsia="Google Sans" w:hAnsi="Google Sans"/>
            <w:color w:val="0000ee"/>
            <w:sz w:val="24"/>
            <w:szCs w:val="24"/>
            <w:u w:val="single"/>
            <w:rtl w:val="0"/>
          </w:rPr>
          <w:t xml:space="preserve">https://stats.stackexchange.com/questions/1142/simple-algorithm-for-online-outlier-detection-of-a-generic-time-series</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AI-driven Biomedical Multimodal Data Fusion and Analysis - Oxford Academic, accessed March 20, 2026, </w:t>
      </w:r>
      <w:hyperlink r:id="rId80">
        <w:r w:rsidDel="00000000" w:rsidR="00000000" w:rsidRPr="00000000">
          <w:rPr>
            <w:rFonts w:ascii="Google Sans" w:cs="Google Sans" w:eastAsia="Google Sans" w:hAnsi="Google Sans"/>
            <w:color w:val="0000ee"/>
            <w:sz w:val="24"/>
            <w:szCs w:val="24"/>
            <w:u w:val="single"/>
            <w:rtl w:val="0"/>
          </w:rPr>
          <w:t xml:space="preserve">https://academic.oup.com/gpb/article/23/1/qzaf011/8045317</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fusion and explainability of artificial intelligence models in Alzheimer's Disease detection - PMC, accessed March 20, 2026,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https://pmc.ncbi.nlm.nih.gov/articles/PMC12876535/</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a PTSD Risk Assessment Model Using Multi-Modal Data Fusion - MDPI, accessed March 20, 2026, </w:t>
      </w:r>
      <w:hyperlink r:id="rId82">
        <w:r w:rsidDel="00000000" w:rsidR="00000000" w:rsidRPr="00000000">
          <w:rPr>
            <w:rFonts w:ascii="Google Sans" w:cs="Google Sans" w:eastAsia="Google Sans" w:hAnsi="Google Sans"/>
            <w:color w:val="0000ee"/>
            <w:sz w:val="24"/>
            <w:szCs w:val="24"/>
            <w:u w:val="single"/>
            <w:rtl w:val="0"/>
          </w:rPr>
          <w:t xml:space="preserve">https://www.mdpi.com/2227-7390/13/11/1901</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Data Fusion-Based Risk Assessment Models and Clinical Decision Support Systems for Intraoperative Acquired Pressure Injuries - Gavin Publishers, accessed March 20, 2026, </w:t>
      </w:r>
      <w:hyperlink r:id="rId83">
        <w:r w:rsidDel="00000000" w:rsidR="00000000" w:rsidRPr="00000000">
          <w:rPr>
            <w:rFonts w:ascii="Google Sans" w:cs="Google Sans" w:eastAsia="Google Sans" w:hAnsi="Google Sans"/>
            <w:color w:val="0000ee"/>
            <w:sz w:val="24"/>
            <w:szCs w:val="24"/>
            <w:u w:val="single"/>
            <w:rtl w:val="0"/>
          </w:rPr>
          <w:t xml:space="preserve">https://www.gavinpublishers.com/article/view/multimodal-data-fusion-based-risk-assessment--models-and-clinical-decision-support-systems-for-intraoperative-acquired-pressure-injuries</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accessed March 20, 2026, </w:t>
      </w:r>
      <w:hyperlink r:id="rId84">
        <w:r w:rsidDel="00000000" w:rsidR="00000000" w:rsidRPr="00000000">
          <w:rPr>
            <w:rFonts w:ascii="Google Sans" w:cs="Google Sans" w:eastAsia="Google Sans" w:hAnsi="Google Sans"/>
            <w:color w:val="0000ee"/>
            <w:sz w:val="24"/>
            <w:szCs w:val="24"/>
            <w:u w:val="single"/>
            <w:rtl w:val="0"/>
          </w:rPr>
          <w:t xml:space="preserve">https://api.army.mil/e2/c/downloads/2026/02/26/b6c04afe/army-medicine-decision-advantage-strategy-final-mar-25.pdf</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Human-in-the-loop to Human-in-power - PMC - NIH, accessed March 20, 2026,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https://pmc.ncbi.nlm.nih.gov/articles/PMC11384285/</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TechDispatch - Human oversight of automated decision-making - European Data Protection Supervisor, accessed March 20, 2026, </w:t>
      </w:r>
      <w:hyperlink r:id="rId86">
        <w:r w:rsidDel="00000000" w:rsidR="00000000" w:rsidRPr="00000000">
          <w:rPr>
            <w:rFonts w:ascii="Google Sans" w:cs="Google Sans" w:eastAsia="Google Sans" w:hAnsi="Google Sans"/>
            <w:color w:val="0000ee"/>
            <w:sz w:val="24"/>
            <w:szCs w:val="24"/>
            <w:u w:val="single"/>
            <w:rtl w:val="0"/>
          </w:rPr>
          <w:t xml:space="preserve">https://www.edps.europa.eu/system/files/2025-09/25-09-15_techdispatch-human-oversight_en.pdf</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Meaningful Human Control over AI for Health? A Review | Journal of Medical Ethics, accessed March 20, 2026, </w:t>
      </w:r>
      <w:hyperlink r:id="rId87">
        <w:r w:rsidDel="00000000" w:rsidR="00000000" w:rsidRPr="00000000">
          <w:rPr>
            <w:rFonts w:ascii="Google Sans" w:cs="Google Sans" w:eastAsia="Google Sans" w:hAnsi="Google Sans"/>
            <w:color w:val="0000ee"/>
            <w:sz w:val="24"/>
            <w:szCs w:val="24"/>
            <w:u w:val="single"/>
            <w:rtl w:val="0"/>
          </w:rPr>
          <w:t xml:space="preserve">https://jme.bmj.com/content/early/2023/09/20/jme-2023-109095</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Lawful Military AI: Technical and Legal Reflections on Decision-Support and Autonomous Weapon Systems - Perry World House, accessed March 20, 2026, </w:t>
      </w:r>
      <w:hyperlink r:id="rId88">
        <w:r w:rsidDel="00000000" w:rsidR="00000000" w:rsidRPr="00000000">
          <w:rPr>
            <w:rFonts w:ascii="Google Sans" w:cs="Google Sans" w:eastAsia="Google Sans" w:hAnsi="Google Sans"/>
            <w:color w:val="0000ee"/>
            <w:sz w:val="24"/>
            <w:szCs w:val="24"/>
            <w:u w:val="single"/>
            <w:rtl w:val="0"/>
          </w:rPr>
          <w:t xml:space="preserve">https://perryworldhouse.upenn.edu/news-and-insight/designing-lawful-military-ai-technical-and-legal-reflections-on-decision-support-and-autonomous-weapon-systems/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Exceptions - Updated for 2026, accessed March 20, 2026, </w:t>
      </w:r>
      <w:hyperlink r:id="rId89">
        <w:r w:rsidDel="00000000" w:rsidR="00000000" w:rsidRPr="00000000">
          <w:rPr>
            <w:rFonts w:ascii="Google Sans" w:cs="Google Sans" w:eastAsia="Google Sans" w:hAnsi="Google Sans"/>
            <w:color w:val="0000ee"/>
            <w:sz w:val="24"/>
            <w:szCs w:val="24"/>
            <w:u w:val="single"/>
            <w:rtl w:val="0"/>
          </w:rPr>
          <w:t xml:space="preserve">https://www.hipaajournal.com/hipaa-exceptions/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Brokers and the Sale of Data on US Military Personnel | Tech Policy @ Sanford - Duke University, accessed March 20, 2026, </w:t>
      </w:r>
      <w:hyperlink r:id="rId90">
        <w:r w:rsidDel="00000000" w:rsidR="00000000" w:rsidRPr="00000000">
          <w:rPr>
            <w:rFonts w:ascii="Google Sans" w:cs="Google Sans" w:eastAsia="Google Sans" w:hAnsi="Google Sans"/>
            <w:color w:val="0000ee"/>
            <w:sz w:val="24"/>
            <w:szCs w:val="24"/>
            <w:u w:val="single"/>
            <w:rtl w:val="0"/>
          </w:rPr>
          <w:t xml:space="preserve">https://techpolicy.sanford.duke.edu/wp-content/uploads/2023/11/Sherman-et-al-2023-Data-Brokers-and-the-Sale-of-Data-on-US-Military-Personnel.pdf</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Brokers, Military Personnel, and National Security Risks - Lawfare, accessed March 20, 2026, </w:t>
      </w:r>
      <w:hyperlink r:id="rId91">
        <w:r w:rsidDel="00000000" w:rsidR="00000000" w:rsidRPr="00000000">
          <w:rPr>
            <w:rFonts w:ascii="Google Sans" w:cs="Google Sans" w:eastAsia="Google Sans" w:hAnsi="Google Sans"/>
            <w:color w:val="0000ee"/>
            <w:sz w:val="24"/>
            <w:szCs w:val="24"/>
            <w:u w:val="single"/>
            <w:rtl w:val="0"/>
          </w:rPr>
          <w:t xml:space="preserve">https://www.lawfaremedia.org/article/data-brokers-military-personnel-and-national-security-risks</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Access to U.S. Sensitive Personal Data and Government-Related Data by Countries of Concern or Covered Persons - Federal Register, accessed March 20, 2026, </w:t>
      </w:r>
      <w:hyperlink r:id="rId92">
        <w:r w:rsidDel="00000000" w:rsidR="00000000" w:rsidRPr="00000000">
          <w:rPr>
            <w:rFonts w:ascii="Google Sans" w:cs="Google Sans" w:eastAsia="Google Sans" w:hAnsi="Google Sans"/>
            <w:color w:val="0000ee"/>
            <w:sz w:val="24"/>
            <w:szCs w:val="24"/>
            <w:u w:val="single"/>
            <w:rtl w:val="0"/>
          </w:rPr>
          <w:t xml:space="preserve">https://www.federalregister.gov/documents/2025/01/08/2024-31486/preventing-access-to-us-sensitive-personal-data-and-government-related-data-by-countries-of-concern</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Health Data Affected by New National Security Restrictions on International Data Transfers | Insights | Holland &amp; Knight, accessed March 20, 2026, </w:t>
      </w:r>
      <w:hyperlink r:id="rId93">
        <w:r w:rsidDel="00000000" w:rsidR="00000000" w:rsidRPr="00000000">
          <w:rPr>
            <w:rFonts w:ascii="Google Sans" w:cs="Google Sans" w:eastAsia="Google Sans" w:hAnsi="Google Sans"/>
            <w:color w:val="0000ee"/>
            <w:sz w:val="24"/>
            <w:szCs w:val="24"/>
            <w:u w:val="single"/>
            <w:rtl w:val="0"/>
          </w:rPr>
          <w:t xml:space="preserve">https://www.hklaw.com/en/insights/publications/2025/05/us-health-data-affected-by-new-national-security-restrictions</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data provenance standards aim to enhance trustworthiness of AI training data, accessed March 20, 2026, </w:t>
      </w:r>
      <w:hyperlink r:id="rId94">
        <w:r w:rsidDel="00000000" w:rsidR="00000000" w:rsidRPr="00000000">
          <w:rPr>
            <w:rFonts w:ascii="Google Sans" w:cs="Google Sans" w:eastAsia="Google Sans" w:hAnsi="Google Sans"/>
            <w:color w:val="0000ee"/>
            <w:sz w:val="24"/>
            <w:szCs w:val="24"/>
            <w:u w:val="single"/>
            <w:rtl w:val="0"/>
          </w:rPr>
          <w:t xml:space="preserve">https://iapp.org/news/a/leading-corporations-proposed-data-provenance-standards-aims-to-enhance-quality-of-ai-training-data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life.io/blog/stages-data-lifecycle-management" TargetMode="External"/><Relationship Id="rId84" Type="http://schemas.openxmlformats.org/officeDocument/2006/relationships/hyperlink" Target="https://api.army.mil/e2/c/downloads/2026/02/26/b6c04afe/army-medicine-decision-advantage-strategy-final-mar-25.pdf" TargetMode="External"/><Relationship Id="rId83" Type="http://schemas.openxmlformats.org/officeDocument/2006/relationships/hyperlink" Target="https://www.gavinpublishers.com/article/view/multimodal-data-fusion-based-risk-assessment--models-and-clinical-decision-support-systems-for-intraoperative-acquired-pressure-injuries" TargetMode="External"/><Relationship Id="rId42" Type="http://schemas.openxmlformats.org/officeDocument/2006/relationships/hyperlink" Target="https://www.reddit.com/r/highfreqtrading/comments/1m76uc2/general_hft_architecture/" TargetMode="External"/><Relationship Id="rId86" Type="http://schemas.openxmlformats.org/officeDocument/2006/relationships/hyperlink" Target="https://www.edps.europa.eu/system/files/2025-09/25-09-15_techdispatch-human-oversight_en.pdf" TargetMode="External"/><Relationship Id="rId41" Type="http://schemas.openxmlformats.org/officeDocument/2006/relationships/hyperlink" Target="https://online.hbs.edu/blog/post/data-life-cycle" TargetMode="External"/><Relationship Id="rId85" Type="http://schemas.openxmlformats.org/officeDocument/2006/relationships/hyperlink" Target="https://pmc.ncbi.nlm.nih.gov/articles/PMC11384285/" TargetMode="External"/><Relationship Id="rId44" Type="http://schemas.openxmlformats.org/officeDocument/2006/relationships/hyperlink" Target="https://ejournal.gomit.id/ijaaiml/article/download/287/400" TargetMode="External"/><Relationship Id="rId88" Type="http://schemas.openxmlformats.org/officeDocument/2006/relationships/hyperlink" Target="https://perryworldhouse.upenn.edu/news-and-insight/designing-lawful-military-ai-technical-and-legal-reflections-on-decision-support-and-autonomous-weapon-systems/" TargetMode="External"/><Relationship Id="rId43" Type="http://schemas.openxmlformats.org/officeDocument/2006/relationships/hyperlink" Target="http://vldb.org/pvldb/vol14/p141-tran.pdf" TargetMode="External"/><Relationship Id="rId87" Type="http://schemas.openxmlformats.org/officeDocument/2006/relationships/hyperlink" Target="https://jme.bmj.com/content/early/2023/09/20/jme-2023-109095" TargetMode="External"/><Relationship Id="rId46" Type="http://schemas.openxmlformats.org/officeDocument/2006/relationships/hyperlink" Target="https://www.mdpi.com/2079-8954/13/7/581" TargetMode="External"/><Relationship Id="rId45" Type="http://schemas.openxmlformats.org/officeDocument/2006/relationships/hyperlink" Target="https://arxiv.org/html/2501.01061v1" TargetMode="External"/><Relationship Id="rId89" Type="http://schemas.openxmlformats.org/officeDocument/2006/relationships/hyperlink" Target="https://www.hipaajournal.com/hipaa-exceptions/" TargetMode="External"/><Relationship Id="rId80" Type="http://schemas.openxmlformats.org/officeDocument/2006/relationships/hyperlink" Target="https://academic.oup.com/gpb/article/23/1/qzaf011/8045317" TargetMode="External"/><Relationship Id="rId82" Type="http://schemas.openxmlformats.org/officeDocument/2006/relationships/hyperlink" Target="https://www.mdpi.com/2227-7390/13/11/1901" TargetMode="External"/><Relationship Id="rId81" Type="http://schemas.openxmlformats.org/officeDocument/2006/relationships/hyperlink" Target="https://pmc.ncbi.nlm.nih.gov/articles/PMC128765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tatabio.com/ffpe" TargetMode="External"/><Relationship Id="rId48" Type="http://schemas.openxmlformats.org/officeDocument/2006/relationships/hyperlink" Target="https://www.lseg.com/en/data-analytics/financial-data/alternative-data" TargetMode="External"/><Relationship Id="rId47" Type="http://schemas.openxmlformats.org/officeDocument/2006/relationships/hyperlink" Target="https://medium.com/@siddharthapramanik771/detecting-outliers-in-streaming-data-techniques-and-real-world-applications-88aace03f067" TargetMode="External"/><Relationship Id="rId49" Type="http://schemas.openxmlformats.org/officeDocument/2006/relationships/hyperlink" Target="https://www.garp.org/risk-intelligence/technology/the-alternative-data-craze-peering-behind-the-curtain" TargetMode="External"/><Relationship Id="rId5" Type="http://schemas.openxmlformats.org/officeDocument/2006/relationships/styles" Target="styles.xml"/><Relationship Id="rId6" Type="http://schemas.openxmlformats.org/officeDocument/2006/relationships/hyperlink" Target="https://www.youtube.com/watch?v=R0CuCv2ebjo" TargetMode="External"/><Relationship Id="rId7" Type="http://schemas.openxmlformats.org/officeDocument/2006/relationships/hyperlink" Target="https://hesiglobal.org/event/estar-webinar-2023-02-21/" TargetMode="External"/><Relationship Id="rId8" Type="http://schemas.openxmlformats.org/officeDocument/2006/relationships/hyperlink" Target="https://pmc.ncbi.nlm.nih.gov/articles/PMC10415133/" TargetMode="External"/><Relationship Id="rId73" Type="http://schemas.openxmlformats.org/officeDocument/2006/relationships/hyperlink" Target="https://pmc.ncbi.nlm.nih.gov/articles/PMC4230918/" TargetMode="External"/><Relationship Id="rId72" Type="http://schemas.openxmlformats.org/officeDocument/2006/relationships/hyperlink" Target="https://pmc.ncbi.nlm.nih.gov/articles/PMC12363972/" TargetMode="External"/><Relationship Id="rId31" Type="http://schemas.openxmlformats.org/officeDocument/2006/relationships/hyperlink" Target="https://www.tandfonline.com/doi/full/10.1080/14751798.2023.2264070" TargetMode="External"/><Relationship Id="rId75" Type="http://schemas.openxmlformats.org/officeDocument/2006/relationships/hyperlink" Target="https://pmc.ncbi.nlm.nih.gov/articles/PMC9285172/" TargetMode="External"/><Relationship Id="rId30" Type="http://schemas.openxmlformats.org/officeDocument/2006/relationships/hyperlink" Target="https://indianexpress.com/article/cities/pune/training-battlefield-ai-india-military-capabilities-10592861/" TargetMode="External"/><Relationship Id="rId74" Type="http://schemas.openxmlformats.org/officeDocument/2006/relationships/hyperlink" Target="https://www.biorxiv.org/content/10.1101/590372v1" TargetMode="External"/><Relationship Id="rId33" Type="http://schemas.openxmlformats.org/officeDocument/2006/relationships/hyperlink" Target="https://media.defense.gov/2020/Oct/08/2002514180/-1/-1/0/DOD-DATA-STRATEGY.PDF" TargetMode="External"/><Relationship Id="rId77" Type="http://schemas.openxmlformats.org/officeDocument/2006/relationships/hyperlink" Target="https://gdc.cancer.gov/about-data/gdc-data-processing/genomic-data-processing" TargetMode="External"/><Relationship Id="rId32" Type="http://schemas.openxmlformats.org/officeDocument/2006/relationships/hyperlink" Target="https://www.army.mil/article/282483/battlefield_algorithm_leveraging_predictive_analytics_in_contested_environments" TargetMode="External"/><Relationship Id="rId76" Type="http://schemas.openxmlformats.org/officeDocument/2006/relationships/hyperlink" Target="https://www.jmir.org/2021/4/e26261/" TargetMode="External"/><Relationship Id="rId35" Type="http://schemas.openxmlformats.org/officeDocument/2006/relationships/hyperlink" Target="https://www.ai.mil/Portals/137/Documents/Resources%20Page/DoD%20Metadata%20Guidance.pdf" TargetMode="External"/><Relationship Id="rId79" Type="http://schemas.openxmlformats.org/officeDocument/2006/relationships/hyperlink" Target="https://stats.stackexchange.com/questions/1142/simple-algorithm-for-online-outlier-detection-of-a-generic-time-series" TargetMode="External"/><Relationship Id="rId34" Type="http://schemas.openxmlformats.org/officeDocument/2006/relationships/hyperlink" Target="https://www.denodo.com/system/files/document-attachments/denodo_how-to-lay-foundation-for-data-ai-dod.pdf?I&amp;utm_source-ForresterDS" TargetMode="External"/><Relationship Id="rId78" Type="http://schemas.openxmlformats.org/officeDocument/2006/relationships/hyperlink" Target="https://pmc.ncbi.nlm.nih.gov/articles/PMC5580401/" TargetMode="External"/><Relationship Id="rId71" Type="http://schemas.openxmlformats.org/officeDocument/2006/relationships/hyperlink" Target="https://pmc.ncbi.nlm.nih.gov/articles/PMC12715305/" TargetMode="External"/><Relationship Id="rId70" Type="http://schemas.openxmlformats.org/officeDocument/2006/relationships/hyperlink" Target="https://pubmed.ncbi.nlm.nih.gov/41325270/" TargetMode="External"/><Relationship Id="rId37" Type="http://schemas.openxmlformats.org/officeDocument/2006/relationships/hyperlink" Target="https://www.ai.mil/Portals/137/Documents/Resources%20Page/Guidance%20on%20Designating%20Authoritative%20Data%20Sets.pdf" TargetMode="External"/><Relationship Id="rId36" Type="http://schemas.openxmlformats.org/officeDocument/2006/relationships/hyperlink" Target="https://www.ai.mil/Portals/137/Documents/Resources%20Page/DoD%20Data%20Stewardship%20Guidebook.pdf" TargetMode="External"/><Relationship Id="rId39" Type="http://schemas.openxmlformats.org/officeDocument/2006/relationships/hyperlink" Target="https://medium.com/@tahirbalarabe2/%EF%B8%8Fdefense-in-depth-strategy-for-the-ai-lifecycle-7777c7ce2fb2" TargetMode="External"/><Relationship Id="rId38" Type="http://schemas.openxmlformats.org/officeDocument/2006/relationships/hyperlink" Target="https://datafoundation.org/news/reports/697/697-Data-Provenance-in-AI" TargetMode="External"/><Relationship Id="rId62" Type="http://schemas.openxmlformats.org/officeDocument/2006/relationships/hyperlink" Target="https://pmc.ncbi.nlm.nih.gov/articles/PMC9677480/" TargetMode="External"/><Relationship Id="rId61" Type="http://schemas.openxmlformats.org/officeDocument/2006/relationships/hyperlink" Target="https://pmc.ncbi.nlm.nih.gov/articles/PMC9873697/" TargetMode="External"/><Relationship Id="rId20" Type="http://schemas.openxmlformats.org/officeDocument/2006/relationships/hyperlink" Target="https://www.augusta.edu/online/blog/data-collection-techniques" TargetMode="External"/><Relationship Id="rId64" Type="http://schemas.openxmlformats.org/officeDocument/2006/relationships/hyperlink" Target="https://aws.amazon.com/blogs/machine-learning/accelerate-digital-pathology-slide-annotation-workflows-on-aws-using-h-optimus-0/" TargetMode="External"/><Relationship Id="rId63" Type="http://schemas.openxmlformats.org/officeDocument/2006/relationships/hyperlink" Target="https://www.abcam.com/en-us/knowledge-center/immunohistochemistry/ffpe-in-modern-tissue-analysis" TargetMode="External"/><Relationship Id="rId22" Type="http://schemas.openxmlformats.org/officeDocument/2006/relationships/hyperlink" Target="https://en.wikipedia.org/wiki/Measurement_and_signature_intelligence" TargetMode="External"/><Relationship Id="rId66" Type="http://schemas.openxmlformats.org/officeDocument/2006/relationships/hyperlink" Target="https://pubmed.ncbi.nlm.nih.gov/28163975/" TargetMode="External"/><Relationship Id="rId21" Type="http://schemas.openxmlformats.org/officeDocument/2006/relationships/hyperlink" Target="https://www.l3harris.com/all-capabilities/signals-intelligence-sigint-systems" TargetMode="External"/><Relationship Id="rId65" Type="http://schemas.openxmlformats.org/officeDocument/2006/relationships/hyperlink" Target="https://friendsofcancerresearch.org/publication/supporting-the-application-of-computational-pathology-in-oncology/" TargetMode="External"/><Relationship Id="rId24" Type="http://schemas.openxmlformats.org/officeDocument/2006/relationships/hyperlink" Target="https://academic.oup.com/milmed/article/190/3-4/81/7726880" TargetMode="External"/><Relationship Id="rId68" Type="http://schemas.openxmlformats.org/officeDocument/2006/relationships/hyperlink" Target="https://mipb.ikn.army.mil/media/lkwbguxj/2023-07-12-schott_ew_online.pdf" TargetMode="External"/><Relationship Id="rId23" Type="http://schemas.openxmlformats.org/officeDocument/2006/relationships/hyperlink" Target="https://apps.dtic.mil/sti/tr/pdf/ADA475273.pdf" TargetMode="External"/><Relationship Id="rId67" Type="http://schemas.openxmlformats.org/officeDocument/2006/relationships/hyperlink" Target="https://incompliancemag.com/electronic-warfare-vying-for-control-of-the-electromagnetic-spectrum/" TargetMode="External"/><Relationship Id="rId60" Type="http://schemas.openxmlformats.org/officeDocument/2006/relationships/hyperlink" Target="https://www.nationalacademies.org/read/13443/chapter/3" TargetMode="External"/><Relationship Id="rId26" Type="http://schemas.openxmlformats.org/officeDocument/2006/relationships/hyperlink" Target="https://www.getambush.com/article/tactical-edge-sensor-fusion-at-scale/" TargetMode="External"/><Relationship Id="rId25" Type="http://schemas.openxmlformats.org/officeDocument/2006/relationships/hyperlink" Target="https://armysbir.army.mil/topics/algorithms-for-modular-remote-expendable-sensor-array/" TargetMode="External"/><Relationship Id="rId69" Type="http://schemas.openxmlformats.org/officeDocument/2006/relationships/hyperlink" Target="https://defensescoop.com/2024/03/22/army-electromagnetic-spectrum-decoy-obfuscation-systems-2025/" TargetMode="External"/><Relationship Id="rId28" Type="http://schemas.openxmlformats.org/officeDocument/2006/relationships/hyperlink" Target="https://thedecisionlab.com/reference-guide/computer-science/the-ooda-loop" TargetMode="External"/><Relationship Id="rId27" Type="http://schemas.openxmlformats.org/officeDocument/2006/relationships/hyperlink" Target="https://www.researchgate.net/publication/235194212_Sensor_Management_for_Tactical_Surveillance_Operations" TargetMode="External"/><Relationship Id="rId29" Type="http://schemas.openxmlformats.org/officeDocument/2006/relationships/hyperlink" Target="https://en.wikipedia.org/wiki/OODA_loop" TargetMode="External"/><Relationship Id="rId51" Type="http://schemas.openxmlformats.org/officeDocument/2006/relationships/hyperlink" Target="https://www.reddit.com/r/quant/comments/1f88qgk/alternative_data_sources/" TargetMode="External"/><Relationship Id="rId50" Type="http://schemas.openxmlformats.org/officeDocument/2006/relationships/hyperlink" Target="https://blog.getaura.ai/alternative-data-providers" TargetMode="External"/><Relationship Id="rId94" Type="http://schemas.openxmlformats.org/officeDocument/2006/relationships/hyperlink" Target="https://iapp.org/news/a/leading-corporations-proposed-data-provenance-standards-aims-to-enhance-quality-of-ai-training-data" TargetMode="External"/><Relationship Id="rId53" Type="http://schemas.openxmlformats.org/officeDocument/2006/relationships/hyperlink" Target="https://smartasset.com/investing/strategic-vs-tactical-asset-allocation" TargetMode="External"/><Relationship Id="rId52" Type="http://schemas.openxmlformats.org/officeDocument/2006/relationships/hyperlink" Target="https://www.tribe.ai/applied-ai/ai-powered-alternative-data" TargetMode="External"/><Relationship Id="rId11" Type="http://schemas.openxmlformats.org/officeDocument/2006/relationships/hyperlink" Target="https://irp.fas.org/cia/product/facttell/intcycle.htm" TargetMode="External"/><Relationship Id="rId55" Type="http://schemas.openxmlformats.org/officeDocument/2006/relationships/hyperlink" Target="https://blogs.cfainstitute.org/investor/2022/02/10/tactical-asset-allocation-the-flexibility-advantage/" TargetMode="External"/><Relationship Id="rId10" Type="http://schemas.openxmlformats.org/officeDocument/2006/relationships/hyperlink" Target="https://www.spatial-omicslab.com/resource/spatial-transcriptomics-cancer-strategies.html" TargetMode="External"/><Relationship Id="rId54" Type="http://schemas.openxmlformats.org/officeDocument/2006/relationships/hyperlink" Target="https://www.kitces.com/blog/active-passive-strategic-tactical-whats-your-investment-management-style/" TargetMode="External"/><Relationship Id="rId13" Type="http://schemas.openxmlformats.org/officeDocument/2006/relationships/hyperlink" Target="https://www.armyupress.army.mil/Journals/Military-Review/Online-Exclusive/2025-OLE/Modernizing-Military-Decision-Making/" TargetMode="External"/><Relationship Id="rId57" Type="http://schemas.openxmlformats.org/officeDocument/2006/relationships/hyperlink" Target="https://www.herondata.io/blog/automated-loan-processing" TargetMode="External"/><Relationship Id="rId12" Type="http://schemas.openxmlformats.org/officeDocument/2006/relationships/hyperlink" Target="https://miro.com/strategic-planning/what-is-ooda-loop/" TargetMode="External"/><Relationship Id="rId56" Type="http://schemas.openxmlformats.org/officeDocument/2006/relationships/hyperlink" Target="https://www.4tfg.com/resources/rethinking-modern-portfolio-theory-strategic-vs.-tactical-asset-allocation" TargetMode="External"/><Relationship Id="rId91" Type="http://schemas.openxmlformats.org/officeDocument/2006/relationships/hyperlink" Target="https://www.lawfaremedia.org/article/data-brokers-military-personnel-and-national-security-risks" TargetMode="External"/><Relationship Id="rId90" Type="http://schemas.openxmlformats.org/officeDocument/2006/relationships/hyperlink" Target="https://techpolicy.sanford.duke.edu/wp-content/uploads/2023/11/Sherman-et-al-2023-Data-Brokers-and-the-Sale-of-Data-on-US-Military-Personnel.pdf" TargetMode="External"/><Relationship Id="rId93" Type="http://schemas.openxmlformats.org/officeDocument/2006/relationships/hyperlink" Target="https://www.hklaw.com/en/insights/publications/2025/05/us-health-data-affected-by-new-national-security-restrictions" TargetMode="External"/><Relationship Id="rId92" Type="http://schemas.openxmlformats.org/officeDocument/2006/relationships/hyperlink" Target="https://www.federalregister.gov/documents/2025/01/08/2024-31486/preventing-access-to-us-sensitive-personal-data-and-government-related-data-by-countries-of-concern" TargetMode="External"/><Relationship Id="rId15" Type="http://schemas.openxmlformats.org/officeDocument/2006/relationships/hyperlink" Target="https://www.ddn.com/blog/data-architecture-hft-competitive-edge/" TargetMode="External"/><Relationship Id="rId59" Type="http://schemas.openxmlformats.org/officeDocument/2006/relationships/hyperlink" Target="https://www.ncbi.nlm.nih.gov/books/NBK236821/" TargetMode="External"/><Relationship Id="rId14" Type="http://schemas.openxmlformats.org/officeDocument/2006/relationships/hyperlink" Target="https://www.twilio.com/en-us/blog/insights/data/data-life-cycle" TargetMode="External"/><Relationship Id="rId58" Type="http://schemas.openxmlformats.org/officeDocument/2006/relationships/hyperlink" Target="https://medium.com/@shekhar.manna83/part-0-comprehensive-ai-driven-loan-approval-system-detailed-architecture-implementation-156952182294" TargetMode="External"/><Relationship Id="rId17" Type="http://schemas.openxmlformats.org/officeDocument/2006/relationships/hyperlink" Target="https://www.biz2x.com/loan-origination-software/the-future-of-small-business-lending-why-the-automated-loan/" TargetMode="External"/><Relationship Id="rId16" Type="http://schemas.openxmlformats.org/officeDocument/2006/relationships/hyperlink" Target="https://www.meridianlink.com/blog/the-power-of-automated-loan-decisioning/" TargetMode="External"/><Relationship Id="rId19" Type="http://schemas.openxmlformats.org/officeDocument/2006/relationships/hyperlink" Target="https://www.apu.apus.edu/area-of-study/intelligence/resources/what-is-imint/" TargetMode="External"/><Relationship Id="rId18" Type="http://schemas.openxmlformats.org/officeDocument/2006/relationships/hyperlink" Target="https://en.wikipedia.org/wiki/Intelligence_cyc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