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Interdisciplinary Systems Architecture and Implementation Blueprint for the Financial Pattern Prediction Engine (FPPE)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Architectural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global financial market operates as a complex, non-stationary ecosystem characterized by shifting macroeconomic regimes, sudden volatility expansions, and multidimensional contagion effects. To navigate this highly stochastic environment, the Financial Pattern Prediction Engine (FPPE) was conceptualized as a fully autonomous financial prediction system. Grounded in a K-nearest-neighbor (KNN) historical analogue matching engine, the foundational architecture queries a 52-ticker, 25-year database utilizing an 8-feature return fingerprint. Modulated by an 8-state macro regime filter and calibrated via Double-Pass Platt scaling, the system generates 7-day algorithmic BUY/SELL/HOLD signals through a rigorous three-filter gate.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validity of this foundation is robust. On the 2024 validation fold, the Phase 1 trading system achieved a positive Brier Skill Score (+0.00103), a 1.82 Sharpe ratio, and a tightly controlled 6.9% maximum drawdown [User Query]. However, as the system transitions into Phase 3 and prepares for a long-term roadmap that includes scaling the asset universe to encompass the entire S&amp;P 500, the architecture faces profound computational and predictive bottlenecks. Standard econometric distance metrics, linear probability calibrations, and static risk overlays are inherently brittle when confronted with the high-dimensional noise, temporal phase shifts, and underdispersive ensemble forecasts typical of high-frequency financial data.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architect the next generation of the FPPE, this report provides an exhaustive, Python-focused implementation blueprint that synthesizes mature data structures and advanced methodologies from five distinct scientific disciplines. By integrating audio processing distance metrics (Earth Mover's Distance), meteorological probability calibration (AnEn-CNN-BMA), astrophysical low-latency similarity search frameworks (FAISS/HNSW), and dynamic risk execution engines derived from geophysics and defense (Seismic Slip-Deficit, TTF, OODA Loops, CPOD), the FPPE will transcend traditional quantitative boundaries. Furthermore, this blueprint includes a comprehensive retrospective review plan to systematically inject these interdisciplinary upgrades into the already completed Phase 1 and Phase 2 codebases, transforming the FPPE from a retrospective pattern matcher into a forward-looking, highly calibrated, zero-latency execution engine.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and Phase 2 Retrospective Analysis and Baseline Architecture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implementing advanced interdisciplinary methodologies, it is imperative to establish a precise understanding of the current FPPE baseline logic, data structures, and architectural state. The logic for Phase 1 and Phase 2 is encapsulated within the trading_system/ package, comprising seven core modules validated by an extensive suite of 485 passing tests.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input mechanism for the KNN engine is the 8-feature return fingerprint, a strictly defined "Active Feature Set" that was locked after quantitative research indicated that highly complex 16-feature configurations produced Brier Skill Scores approximately 3.5 times worse than a purely return-based approach.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fingerprint vector consists of trailing return windows spanning ret_1d, ret_3d, ret_7d, ret_14d, ret_30d, ret_45d, ret_60d, and ret_90d.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v2.1 system optimization, deterministic feature weights were applied to emphasize proven predictive signals while dampening secular noise. Specifically, the ret_7d and ret_14d variables are weighted up to a multiplier of 1.5, as they are identified as highly proven medium-term trend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ret_90d variable is weighted down to 0.5 due to its tendency to introduce long-term secular noise into the similarity search.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 contextual variables, such as vol_10d and price_vs_sma20, are assigned a weight of 1.2 to capture realized volatility and mean-reversion characteristics.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Baseline Trade Simulation and Structural Stability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1 focuses exclusively on the foundational layer of trade simulation, providing a raw assessment of the predictive power of the KNN signals without the obfuscation of complex risk overlays.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via the run_phase1.py entry point, the system executes an equal-weight allocation strategy utilizing cached BUY/SELL/HOLD signals generated by the pattern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signal_adapter.py module serves as the critical bridge, normalizing outputs from the underlying KNN matrices into a standardized UnifiedSignal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stability of Phase 1 is well-documented following a rigorous structural stability review, detailed internally within docs/PHASE1_FILE_REVIEW.md.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audit resulted in the identification and immediate resolution of nine specific systemic findings.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notable correction, designated as the "C1 fix," involved the fundamental re-categorization of The Walt Disney Company (DIS), shifting it from the "Industrial" sector to the "Consumer" sector within the 52-ticker universe.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fix ensured that sector-relative feature normalization accurately reflected true economic peer groupings prior to distance calculations.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Dynamic Risk Engine Integration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2 advances the architectural complexity by abandoning the equal-weight paradigm in favor of a sophisticated, dynamic risk management layer. Governed by the risk_engine.py module, Phase 2 implements professional position sizing and capital preservation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mechanisms include Average True Range (ATR) sizing to inversely correlate position exposure with prevailing market volatility, drawdown scalars to algorithmically reduce risk exposure during localized equity curve depressions, and automated stop-loss execution.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state of the risk engine is continuously monitored via highly structured Python dataclasses located in the risk_state.py module, specifically PositionDecision, StopLossEvent, and RiskState.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efficacy of this phase is empirically measured using the run_phase2.py script, which functions as a comparison runner to evaluate the risk-adjusted returns of Phase 2 directly against the Phase 1 equal-weight baseline.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highly functional capabilities, the current architecture relies on static profiles for ATR multipliers and Euclidean calculations for distance measurements.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Upgrading these components requires looking beyond standard econometrics toward the mathematical paradigms utilized in linguistics, astrophysics, and meteorology.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Upgrading the Foundational Distance Metric: Optimal Transport and Earth Mover's Distance (EMD)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historical analogue matching engines for financial time series has historically relied upon standard, point-to-point distance metrics, such as Euclidean distance, Mean Absolute Error (MAE), cosine similarity, or Dynamic Time Warping (DTW).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these approaches form the foundation of traditional quantitative comparative analysis, they frequently fail to capture the multidimensional and context-dependent nature of financial markets.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metrics require strict, rigid temporal alignment. If a sophisticated market distribution pattern took two weeks to unfold in 2008, but takes three weeks to unfold in 2026 due to varying macroeconomic liquidity constraints, a strict Euclidean distance calculation will severely penalize the historical analogue.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Financial markets experience constant "time warping" and phase shifting; penalizing a geometrically identical behavioral pattern simply because a reaction occurred two days later renders the KNN engine computationally brittle.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limitation, the FPPE architecture must adapt methodologies from Natural Language Processing (NLP) and Music Information Retrieval, specifically the Earth Mover's Distance (EMD).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Also known as the Wasserstein metric or the Kantorovich-Rubinstein metric, EMD measures the minimum aggregate "work" required to transform one probability distribution (or multidimensional point set) into another.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Tensor Construction and Melodic Similarity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domain of audio analysis, comparing the similarity of two distinct melodies requires abandoning the concept of a rigid time series.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researchers represent music as a two-dimensional weighted point set. Each individual note is plotted in a spatial plane defined by its onset time and its pitch value, while the note's duration acts as the statistical "weight" or "mass" of that point.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EMD then calculates the optimal transport plan, gracefully handling fluctuations in tempo (scaling in the time dimension) and transpositions in musical key (translation in the pitch dimension) without requiring complex DTW alignment.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time series are essentially erratic, polyphonic melodies played out over an economic timeline.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implement EMD natively within the FPPE architecture, the 8-feature return fingerprint must undergo a fundamental shift in data representation, transitioning from a 1D vector into a 2D spatial weighted point set: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Coordinate Mapping:</w:t>
      </w:r>
      <w:r w:rsidDel="00000000" w:rsidR="00000000" w:rsidRPr="00000000">
        <w:rPr>
          <w:rFonts w:ascii="Google Sans" w:cs="Google Sans" w:eastAsia="Google Sans" w:hAnsi="Google Sans"/>
          <w:color w:val="1f1f1f"/>
          <w:rtl w:val="0"/>
        </w:rPr>
        <w:t xml:space="preserve"> The multidimensional time series is mapped to a spatial plane. The x-axis represents normalized time (the specific trailing return window, e.g., </w:t>
      </w:r>
      <w:r w:rsidDel="00000000" w:rsidR="00000000" w:rsidRPr="00000000">
        <w:rPr>
          <w:rFonts w:ascii="Google Sans" w:cs="Google Sans" w:eastAsia="Google Sans" w:hAnsi="Google Sans"/>
          <w:color w:val="1f1f1f"/>
        </w:rPr>
        <w:drawing>
          <wp:inline distB="19050" distT="19050" distL="19050" distR="19050">
            <wp:extent cx="692795" cy="227768"/>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92795" cy="2277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y-axis represents the normalized price return.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Weight Assignment:</w:t>
      </w:r>
      <w:r w:rsidDel="00000000" w:rsidR="00000000" w:rsidRPr="00000000">
        <w:rPr>
          <w:rFonts w:ascii="Google Sans" w:cs="Google Sans" w:eastAsia="Google Sans" w:hAnsi="Google Sans"/>
          <w:color w:val="1f1f1f"/>
          <w:rtl w:val="0"/>
        </w:rPr>
        <w:t xml:space="preserve"> In quantitative finance, the statistical weight ("dirt" or "mass") of a specific data point must be defined by trading volume or Limit Order Book (LOB) liquidity depth.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defining the weight through volume, high-volume, highly contested price levels exert a massive gravitational pull on the similarity metric.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low-volume, illiquid noise occurring during after-hours trading is mathematically marginalized because its transport cost is negligible.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 and Python Implementation Blueprint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the discrete Earth Mover's Distance between a current market state </w:t>
      </w: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historical analog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relies on finding a flow matrix </w:t>
      </w:r>
      <w:r w:rsidDel="00000000" w:rsidR="00000000" w:rsidRPr="00000000">
        <w:rPr>
          <w:rFonts w:ascii="Google Sans" w:cs="Google Sans" w:eastAsia="Google Sans" w:hAnsi="Google Sans"/>
          <w:color w:val="1f1f1f"/>
        </w:rPr>
        <w:drawing>
          <wp:inline distB="19050" distT="19050" distL="19050" distR="19050">
            <wp:extent cx="733574" cy="22864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33574" cy="2286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minimizes the overall transportation cost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3782"/>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05500" cy="52378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optimization is subject to the constraints that the flow from </w:t>
      </w: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46000" cy="2336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6000" cy="233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non-negative (</w:t>
      </w:r>
      <w:r w:rsidDel="00000000" w:rsidR="00000000" w:rsidRPr="00000000">
        <w:rPr>
          <w:rFonts w:ascii="Google Sans" w:cs="Google Sans" w:eastAsia="Google Sans" w:hAnsi="Google Sans"/>
          <w:color w:val="1f1f1f"/>
        </w:rPr>
        <w:drawing>
          <wp:inline distB="19050" distT="19050" distL="19050" distR="19050">
            <wp:extent cx="578941" cy="22778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8941" cy="227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total flow leaving a point cannot exceed its weight, and the total flow matches the minimum total weight of the two sets.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computing the exact EMD via linear programming has a super-cubic time complexity, it cannot be run naively across a 25-year database.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FPPE will utilize the highly optimized Python Optimal Transport (POT) library, which provides an efficient Network Simplex solver and Sinkhorn Knopp algorithms for entropic regularization, alongside scipy.stats.wasserstein_distance_nd for multi-dimensional discrete distributions.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scipy.spatial.distance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cdist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scipy.stats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wasserstein_distance_nd</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OptimalTransportEngine: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time_penalty=</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i w:val="0"/>
          <w:iCs w:val="0"/>
          <w:color w:val="444746"/>
          <w:sz w:val="20"/>
          <w:szCs w:val="20"/>
          <w:shd w:fill="f0f4f9" w:val="clear"/>
          <w:rtl w:val="0"/>
        </w:rPr>
        <w:t xml:space="preserve">, price_penalty=</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Initializes the EMD engine with custom ground distance penalties.</w:t>
        <w:br w:type="textWrapping"/>
        <w:t xml:space="preserve">        A lower time_penalty allows the algorithm to match patterns that </w:t>
        <w:br w:type="textWrapping"/>
        <w:t xml:space="preserve">        unfolded at slightly different speeds (handling market time-warping).</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self.time_penalty = time_penalty</w:t>
        <w:br w:type="textWrapping"/>
        <w:t xml:space="preserve">        self.price_penalty = price_penalty</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construct_weighted_point_set</w:t>
      </w:r>
      <w:r w:rsidDel="00000000" w:rsidR="00000000" w:rsidRPr="00000000">
        <w:rPr>
          <w:rFonts w:ascii="Google Sans" w:cs="Google Sans" w:eastAsia="Google Sans" w:hAnsi="Google Sans"/>
          <w:i w:val="0"/>
          <w:iCs w:val="0"/>
          <w:color w:val="444746"/>
          <w:sz w:val="20"/>
          <w:szCs w:val="20"/>
          <w:shd w:fill="f0f4f9" w:val="clear"/>
          <w:rtl w:val="0"/>
        </w:rPr>
        <w:t xml:space="preserve">(self, returns, volume_weights, time_lags):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Transforms the 8-feature return fingerprint into a 2D spatial tensor.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Create coordinates: (time, return)</w:t>
      </w:r>
      <w:r w:rsidDel="00000000" w:rsidR="00000000" w:rsidRPr="00000000">
        <w:rPr>
          <w:rFonts w:ascii="Google Sans" w:cs="Google Sans" w:eastAsia="Google Sans" w:hAnsi="Google Sans"/>
          <w:color w:val="1f1f1f"/>
          <w:shd w:fill="f0f4f9" w:val="clear"/>
          <w:rtl w:val="0"/>
        </w:rPr>
        <w:br w:type="textWrapping"/>
        <w:t xml:space="preserve">        coordinates = np.column_stack((time_lags * self.time_penalty, </w:t>
        <w:br w:type="textWrapping"/>
        <w:t xml:space="preserve">                                       returns * self.price_penalty))</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Normalize mass to sum to 1.0 to represent a probability distribution</w:t>
      </w:r>
      <w:r w:rsidDel="00000000" w:rsidR="00000000" w:rsidRPr="00000000">
        <w:rPr>
          <w:rFonts w:ascii="Google Sans" w:cs="Google Sans" w:eastAsia="Google Sans" w:hAnsi="Google Sans"/>
          <w:color w:val="1f1f1f"/>
          <w:shd w:fill="f0f4f9" w:val="clear"/>
          <w:rtl w:val="0"/>
        </w:rPr>
        <w:br w:type="textWrapping"/>
        <w:t xml:space="preserve">        normalized_weights = volume_weights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(volume_weights)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coordinates, normalized_weights</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compute_wasserstein_similarity</w:t>
      </w:r>
      <w:r w:rsidDel="00000000" w:rsidR="00000000" w:rsidRPr="00000000">
        <w:rPr>
          <w:rFonts w:ascii="Google Sans" w:cs="Google Sans" w:eastAsia="Google Sans" w:hAnsi="Google Sans"/>
          <w:i w:val="0"/>
          <w:iCs w:val="0"/>
          <w:color w:val="444746"/>
          <w:sz w:val="20"/>
          <w:szCs w:val="20"/>
          <w:shd w:fill="f0f4f9" w:val="clear"/>
          <w:rtl w:val="0"/>
        </w:rPr>
        <w:t xml:space="preserve">(self, current_coords, current_weights, </w:t>
        <w:br w:type="textWrapping"/>
        <w:t xml:space="preserve">                                       hist_coords, hist_weights):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Computes the exact Earth Mover's Distance using the POT library.</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Calculate the pairwise Euclidean ground distance matrix between all points</w:t>
      </w:r>
      <w:r w:rsidDel="00000000" w:rsidR="00000000" w:rsidRPr="00000000">
        <w:rPr>
          <w:rFonts w:ascii="Google Sans" w:cs="Google Sans" w:eastAsia="Google Sans" w:hAnsi="Google Sans"/>
          <w:color w:val="1f1f1f"/>
          <w:shd w:fill="f0f4f9" w:val="clear"/>
          <w:rtl w:val="0"/>
        </w:rPr>
        <w:br w:type="textWrapping"/>
        <w:t xml:space="preserve">        cost_matrix = cdist(current_coords, hist_coords, metric=</w:t>
      </w:r>
      <w:r w:rsidDel="00000000" w:rsidR="00000000" w:rsidRPr="00000000">
        <w:rPr>
          <w:rFonts w:ascii="Google Sans" w:cs="Google Sans" w:eastAsia="Google Sans" w:hAnsi="Google Sans"/>
          <w:i w:val="0"/>
          <w:iCs w:val="0"/>
          <w:color w:val="188038"/>
          <w:sz w:val="20"/>
          <w:szCs w:val="20"/>
          <w:shd w:fill="f0f4f9" w:val="clear"/>
          <w:rtl w:val="0"/>
        </w:rPr>
        <w:t xml:space="preserve">'euclidean'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Solve the optimal transport problem using the Earth Mover's Distance</w:t>
      </w:r>
      <w:r w:rsidDel="00000000" w:rsidR="00000000" w:rsidRPr="00000000">
        <w:rPr>
          <w:rFonts w:ascii="Google Sans" w:cs="Google Sans" w:eastAsia="Google Sans" w:hAnsi="Google Sans"/>
          <w:color w:val="1f1f1f"/>
          <w:shd w:fill="f0f4f9" w:val="clear"/>
          <w:rtl w:val="0"/>
        </w:rPr>
        <w:br w:type="textWrapping"/>
        <w:t xml:space="preserve">        emd_distance = ot.emd2(current_weights, hist_weights, cost_matrix)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emd_distance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compute_scipy_wasserstein_nd</w:t>
      </w:r>
      <w:r w:rsidDel="00000000" w:rsidR="00000000" w:rsidRPr="00000000">
        <w:rPr>
          <w:rFonts w:ascii="Google Sans" w:cs="Google Sans" w:eastAsia="Google Sans" w:hAnsi="Google Sans"/>
          <w:i w:val="0"/>
          <w:iCs w:val="0"/>
          <w:color w:val="444746"/>
          <w:sz w:val="20"/>
          <w:szCs w:val="20"/>
          <w:shd w:fill="f0f4f9" w:val="clear"/>
          <w:rtl w:val="0"/>
        </w:rPr>
        <w:t xml:space="preserve">(self, current_coords, current_weights, </w:t>
        <w:br w:type="textWrapping"/>
        <w:t xml:space="preserve">                                     hist_coords, hist_weights):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Alternative calculation utilizing scipy's native N-dimensional solver.</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wasserstein_distance_nd(</w:t>
        <w:br w:type="textWrapping"/>
        <w:t xml:space="preserve">            current_coords, hist_coords,</w:t>
        <w:br w:type="textWrapping"/>
        <w:t xml:space="preserve">            u_weights=current_weights, v_weights=hist_weights</w:t>
        <w:br w:type="textWrapping"/>
        <w:t xml:space="preserve">        )</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second-order insight derived from EMD is its inherent capacity for partial matching and sub-sequence extraction.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Just as an advanced music retrieval system can identify a tightly sampled melody hidden within a larger, complex symphony regardless of surrounding orchestral noise, the EMD-equipped FPPE can identify specific Wyckoff accumulation or distribution structures embedded within highly volatile market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completely bypasses the brittleness of traditional time-aligned distance functions, elevating the KNN engine's accuracy exponentially.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the Foundation: Astronomical Pipelines and FAISS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Earth Mover's Distance solves the problem of structural alignment, applying optimal transport algorithms across a rolling 25-year database for an expanding universe of 500+ tickers presents an insurmountable computational bottleneck.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process similarity searches at the scale required for real-time, zero-latency execution, the FPPE must abandon exact distance calculations for its initial database sweep and adapt the highly automated algorithmic pipelines used in time-domain astronomy.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observatories, such as the Zwicky Transient Facility (ZTF) and the upcoming Vera C. Rubin Observatory, generate millions of astrophysical alerts nightly.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Manual inspection is impossible. To identify rare cosmic anomalies, astronomers deploy the Lightcurve Anomaly Identification and Similarity Search (LAISS) pipeline via the ANTARES broker.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LAISS framework narrows millions of light-curve data points down to a manageable handful of high-priority candidates in milliseconds by relying on Approximate Nearest Neighbor (ANN) algorithms.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High-Dimensional Indexing via FAISS and HNSW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market equivalent to processing millions of nightly astronomical alerts is the ingestion of high-frequency tick data across thousands of global equities.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achieve astronomical execution speeds, the FPPE will integrate Facebook AI Similarity Search (FAISS), an open-source library optimized for fast similarity search in large, high-dimensional datasets.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FAISS, the FPPE will leverage the Hierarchical Navigable Small World (HNSW) graph algorithm.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HNSW is a proximity graph where nodes represent high-dimensional vectors (in this case, the 8-feature return fingerprints), and edges connect each node to its nearest neighbors based on Euclidean distance.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HNSW architecture is built upon two fundamental techniques: the probability skip list and navigable small world graphs.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Probability Skip List:</w:t>
      </w:r>
      <w:r w:rsidDel="00000000" w:rsidR="00000000" w:rsidRPr="00000000">
        <w:rPr>
          <w:rFonts w:ascii="Google Sans" w:cs="Google Sans" w:eastAsia="Google Sans" w:hAnsi="Google Sans"/>
          <w:color w:val="1f1f1f"/>
          <w:rtl w:val="0"/>
        </w:rPr>
        <w:t xml:space="preserve"> Introduced in 1990, the skip list builds several layers of linked lists. The top layer contains links that skip many intermediate nodes.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the search algorithm traverses down the layers, the number of "skips" decreases.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Graph Traversal:</w:t>
      </w:r>
      <w:r w:rsidDel="00000000" w:rsidR="00000000" w:rsidRPr="00000000">
        <w:rPr>
          <w:rFonts w:ascii="Google Sans" w:cs="Google Sans" w:eastAsia="Google Sans" w:hAnsi="Google Sans"/>
          <w:color w:val="1f1f1f"/>
          <w:rtl w:val="0"/>
        </w:rPr>
        <w:t xml:space="preserve"> During an analogue search, the HNSW algorithm starts at the highest, coarsest layer, executing long-range hops across the feature space to rapidly locate the general neighborhood of the target vector.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then greedily descends to the lowest layer for a more exhaustive local search.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multi-layered approach ensures that the number of distance calculations scales sub-linearly with the size of the database, rendering the search time virtually immune to the expansion of the ticker universe from 52 to 500+ assets.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HNSW supports dynamic insertions, allowing the FPPE to append incoming real-time market data to the graph on-the-fly without requiring a complete index rebuild.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Parameter Tuning and Two-Stage Retrieval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HNSW requires precise tuning of graph construction hyperparameters to balance memory utilization against search recall accuracy.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FAISS HNSW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FPPE Optimization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Defines the maximum number of bidirectional links created for every new element during index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setting of M=32 is optimal for 8-feature vectors, providing sufficient connectivity to prevent isolated graph components while minimizing RAM bloat.</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Controls the size of the dynamic candidate list during the initial graph building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 to 200. Higher values yield a higher-quality graph index with better recall, at the expense of slower initial build times. Because the 25-year database is built asynchronously overnight, build time is not a primary constraint.</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Controls the candidate list size during the actual real-time nearest neighbor query.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parameter (e.g., 64 to 256). Adjusting efSearch allows the FPPE to trade off milliseconds of latency for absolute exactness depending on prevailing market volatility.</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FAISS with EMD, the FPPE adopts a </w:t>
      </w:r>
      <w:r w:rsidDel="00000000" w:rsidR="00000000" w:rsidRPr="00000000">
        <w:rPr>
          <w:rFonts w:ascii="Google Sans" w:cs="Google Sans" w:eastAsia="Google Sans" w:hAnsi="Google Sans"/>
          <w:b w:val="1"/>
          <w:bCs w:val="1"/>
          <w:color w:val="1f1f1f"/>
          <w:rtl w:val="0"/>
        </w:rPr>
        <w:t xml:space="preserve">Two-Stage Retrieval Architecture</w:t>
      </w:r>
      <w:r w:rsidDel="00000000" w:rsidR="00000000" w:rsidRPr="00000000">
        <w:rPr>
          <w:rFonts w:ascii="Google Sans" w:cs="Google Sans" w:eastAsia="Google Sans" w:hAnsi="Google Sans"/>
          <w:color w:val="1f1f1f"/>
          <w:rtl w:val="0"/>
        </w:rPr>
        <w:t xml:space="preserve">. Stage 1 utilizes the FAISS HNSW index to scan the entire 25-year database in milliseconds, retrieving a localized cluster of the top 100 approximate nearest neighbors based on a rapid L2 distance proxy. Stage 2 executes the computationally heavy Python Optimal Transport EMD algorithm strictly on this subset of 100 candidates to determine the true structural similarity, achieving both absolute accuracy and zero-latency execution.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faiss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FinancialHNSWEngine: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dimension=</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i w:val="0"/>
          <w:iCs w:val="0"/>
          <w:color w:val="444746"/>
          <w:sz w:val="20"/>
          <w:szCs w:val="20"/>
          <w:shd w:fill="f0f4f9" w:val="clear"/>
          <w:rtl w:val="0"/>
        </w:rPr>
        <w:t xml:space="preserve">, m_links=</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i w:val="0"/>
          <w:iCs w:val="0"/>
          <w:color w:val="444746"/>
          <w:sz w:val="20"/>
          <w:szCs w:val="20"/>
          <w:shd w:fill="f0f4f9" w:val="clear"/>
          <w:rtl w:val="0"/>
        </w:rPr>
        <w:t xml:space="preserve">, ef_construct=</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i w:val="0"/>
          <w:iCs w:val="0"/>
          <w:color w:val="444746"/>
          <w:sz w:val="20"/>
          <w:szCs w:val="20"/>
          <w:shd w:fill="f0f4f9" w:val="clear"/>
          <w:rtl w:val="0"/>
        </w:rPr>
        <w:t xml:space="preserve">, ef_search=</w:t>
      </w:r>
      <w:r w:rsidDel="00000000" w:rsidR="00000000" w:rsidRPr="00000000">
        <w:rPr>
          <w:rFonts w:ascii="Google Sans" w:cs="Google Sans" w:eastAsia="Google Sans" w:hAnsi="Google Sans"/>
          <w:i w:val="0"/>
          <w:iCs w:val="0"/>
          <w:color w:val="b55908"/>
          <w:sz w:val="20"/>
          <w:szCs w:val="20"/>
          <w:shd w:fill="f0f4f9" w:val="clear"/>
          <w:rtl w:val="0"/>
        </w:rPr>
        <w:t xml:space="preserve">64</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Initializes the Hierarchical Navigable Small World graph for the FPPE.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self.dimension = dimension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Initialize the HNSW flat index</w:t>
      </w:r>
      <w:r w:rsidDel="00000000" w:rsidR="00000000" w:rsidRPr="00000000">
        <w:rPr>
          <w:rFonts w:ascii="Google Sans" w:cs="Google Sans" w:eastAsia="Google Sans" w:hAnsi="Google Sans"/>
          <w:color w:val="1f1f1f"/>
          <w:shd w:fill="f0f4f9" w:val="clear"/>
          <w:rtl w:val="0"/>
        </w:rPr>
        <w:br w:type="textWrapping"/>
        <w:t xml:space="preserve">        self.index = faiss.IndexHNSWFlat(self.dimension, m_links)</w:t>
        <w:br w:type="textWrapping"/>
        <w:t xml:space="preserve">        self.index.hnsw.efConstruction = ef_construct</w:t>
        <w:br w:type="textWrapping"/>
        <w:t xml:space="preserve">        self.index.hnsw.efSearch = ef_search</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apply_feature_weights</w:t>
      </w:r>
      <w:r w:rsidDel="00000000" w:rsidR="00000000" w:rsidRPr="00000000">
        <w:rPr>
          <w:rFonts w:ascii="Google Sans" w:cs="Google Sans" w:eastAsia="Google Sans" w:hAnsi="Google Sans"/>
          <w:i w:val="0"/>
          <w:iCs w:val="0"/>
          <w:color w:val="444746"/>
          <w:sz w:val="20"/>
          <w:szCs w:val="20"/>
          <w:shd w:fill="f0f4f9" w:val="clear"/>
          <w:rtl w:val="0"/>
        </w:rPr>
        <w:t xml:space="preserve">(self, fingerprints):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Applies the deterministic weights (e.g., ret_7d=1.5, ret_90d=0.5) </w:t>
        <w:br w:type="textWrapping"/>
        <w:t xml:space="preserve">        directly to the vectors prior to insertion, ensuring the L2 distance </w:t>
        <w:br w:type="textWrapping"/>
        <w:t xml:space="preserve">        proxy respects the FPPE's proven signal priorities.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weights = np.array([</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dtype=np.float32)</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fingerprints * weights</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index_historical_database</w:t>
      </w:r>
      <w:r w:rsidDel="00000000" w:rsidR="00000000" w:rsidRPr="00000000">
        <w:rPr>
          <w:rFonts w:ascii="Google Sans" w:cs="Google Sans" w:eastAsia="Google Sans" w:hAnsi="Google Sans"/>
          <w:i w:val="0"/>
          <w:iCs w:val="0"/>
          <w:color w:val="444746"/>
          <w:sz w:val="20"/>
          <w:szCs w:val="20"/>
          <w:shd w:fill="f0f4f9" w:val="clear"/>
          <w:rtl w:val="0"/>
        </w:rPr>
        <w:t xml:space="preserve">(self, database_fingerprints):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Builds the navigable graph from the 25-year historical database.</w:t>
        <w:br w:type="textWrapping"/>
        <w:t xml:space="preserve">        database_fingerprints: float32 numpy array of shape (N, 8)</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weighted_data = self.apply_feature_weights(database_fingerprints)</w:t>
        <w:br w:type="textWrapping"/>
        <w:t xml:space="preserve">        data_contiguous = np.ascontiguousarray(weighted_data, dtype=np.float32)</w:t>
        <w:br w:type="textWrapping"/>
        <w:t xml:space="preserve">        self.index.add(data_contiguous)</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fast_candidate_retrieval</w:t>
      </w:r>
      <w:r w:rsidDel="00000000" w:rsidR="00000000" w:rsidRPr="00000000">
        <w:rPr>
          <w:rFonts w:ascii="Google Sans" w:cs="Google Sans" w:eastAsia="Google Sans" w:hAnsi="Google Sans"/>
          <w:i w:val="0"/>
          <w:iCs w:val="0"/>
          <w:color w:val="444746"/>
          <w:sz w:val="20"/>
          <w:szCs w:val="20"/>
          <w:shd w:fill="f0f4f9" w:val="clear"/>
          <w:rtl w:val="0"/>
        </w:rPr>
        <w:t xml:space="preserve">(self, current_fingerprint, k_candidates=</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Stage 1: Rapidly retrieves the top 100 candidates to pass to the EMD engine.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weighted_query = self.apply_feature_weights(current_fingerprint.reshape(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query_contiguous = np.ascontiguousarray(weighted_query, dtype=np.float32)</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Returns distances and the original database indices</w:t>
      </w:r>
      <w:r w:rsidDel="00000000" w:rsidR="00000000" w:rsidRPr="00000000">
        <w:rPr>
          <w:rFonts w:ascii="Google Sans" w:cs="Google Sans" w:eastAsia="Google Sans" w:hAnsi="Google Sans"/>
          <w:color w:val="1f1f1f"/>
          <w:shd w:fill="f0f4f9" w:val="clear"/>
          <w:rtl w:val="0"/>
        </w:rPr>
        <w:br w:type="textWrapping"/>
        <w:t xml:space="preserve">        distances, indices = self.index.search(query_contiguous, k_candidates)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distances, indices</w:t>
        <w:br w:type="textWrapping"/>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Anomaly Taxonomy and Macro Regimes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optimize the FAISS retrieval, the FPPE adapts the contextual classification system used by the astronomical LAISS pipeline. In astrophysics, evaluating a transient light curve without understanding the "host-galaxy" features (e.g., metallicity, star formation rate) leads to spurious classifications.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attempting to match a financial price curve from a quantitative easing regime with a geometrically similar curve from a quantitative tightening regime yields inherently flawed predictive outputs.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LAISS pipeline categorizes cosmic anomalies into three domains: spectroscopic (fundamentally rare classes), contextual (events found in uncommon host environments), and behavioral (peculiar interaction-powered phenomena).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FPPE maps this taxonomy directly to its 8-state macro regime filter:</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Spectroscopic Anomalies:</w:t>
      </w:r>
      <w:r w:rsidDel="00000000" w:rsidR="00000000" w:rsidRPr="00000000">
        <w:rPr>
          <w:rFonts w:ascii="Google Sans" w:cs="Google Sans" w:eastAsia="Google Sans" w:hAnsi="Google Sans"/>
          <w:color w:val="1f1f1f"/>
          <w:rtl w:val="0"/>
        </w:rPr>
        <w:t xml:space="preserve"> Corresponds to fundamentally rare market events (flash crashes, sudden liquidity vacuums) that defy normal distribution parameters.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Anomalies:</w:t>
      </w:r>
      <w:r w:rsidDel="00000000" w:rsidR="00000000" w:rsidRPr="00000000">
        <w:rPr>
          <w:rFonts w:ascii="Google Sans" w:cs="Google Sans" w:eastAsia="Google Sans" w:hAnsi="Google Sans"/>
          <w:color w:val="1f1f1f"/>
          <w:rtl w:val="0"/>
        </w:rPr>
        <w:t xml:space="preserve"> Represents market movements defying the current macroeconomic host environment (e.g., a sharp equity rally during a high-inflation, rising-rate regime).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Behavioral Anomalies:</w:t>
      </w:r>
      <w:r w:rsidDel="00000000" w:rsidR="00000000" w:rsidRPr="00000000">
        <w:rPr>
          <w:rFonts w:ascii="Google Sans" w:cs="Google Sans" w:eastAsia="Google Sans" w:hAnsi="Google Sans"/>
          <w:color w:val="1f1f1f"/>
          <w:rtl w:val="0"/>
        </w:rPr>
        <w:t xml:space="preserve"> Represents highly unusual market microstructure dynamics, such as Limit Order Book (LOB) imbalances or algorithmic spoofing.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assigning multidimensional anomaly scores based on this tripartite taxonomy, the FAISS engine can rigidly pre-filter the database, ensuring that retrieved historical analogs share not only a geometric resemblance but also the same fundamental "host galaxy" environment.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 Baseline Probabilities: Meteorological AnEn, CNNs, and BMA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retrieval of structurally identical historical analogs via FAISS and EMD, the FPPE utilizes Double-Pass Platt scaling to calibrate probabilities and generate its 7-day BUY/SELL/HOLD signals [User Query]. Platt scaling, which utilizes logistic regression to transform classifier outputs into posterior probabilities, is highly effective for binary classification margins. However, it assumes normally distributed data and frequently struggles to capture the heavy-tailed, underdispersive nature of financial time series.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true probabilistic reliability, the FPPE must adopt the advanced calibration frameworks pioneered in meteorological weather forecasting: the Analog Ensemble (AnEn) hybridized with Convolutional Neural Networks (CNN) and Bayesian Model Averaging (BMA).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Analog Ensemble (AnEn) and CNN Hybridization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operational meteorology, numerical weather prediction (NWP) models generate ensemble forecasts that often exhibit systematic errors, biases, and a lack of proper calibration.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conventional Analog Ensemble (AnEn) method addresses this by identifying the most similar prior NWP predictions to a current forecast and creating a distribution of actually observed values mapped to those analogs.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aligns perfectly with the FPPE's KNN foundational logic.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recent breakthroughs have hybridized the AnEn method with Convolutional Neural Networks (CNN).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AnEn-CNN hybrid is designed to model the increase or decrease of probabilities for different categories relative to their climatological frequencies by extracting complex, non-linear relationships from input matrices.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FPPE, this means implementing a 1D-CNN layer to process the 8-feature return fingerprint. The CNN acts as a deep feature extractor, applying convolutional filters across the trailing returns (ret_1d through ret_90d) to automatically learn temporal momentum divergence and localized volatility clustering without manual feature engineering.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dense layers of the CNN output a highly refined latent vector representing the precise "financial atmospheric state," which significantly outperforms purely statistical analogs, particularly for extreme, right-tailed forecast error events.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Bayesian Model Averaging (BMA) for Probability Calibration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highly refined analogs, ensemble forecasts tend to exhibit a spread-skill relationship while remaining chronically underdispersive—meaning they fail to capture the true breadth of uncertainty and underestimate the probability of extreme tail events.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correct this, the FPPE will replace Platt scaling with Bayesian Model Averaging (BMA).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BMA is a rigorous statistical method for post-processing forecast ensembles to create highly calibrated predictive probability density functions (PDFs).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Instead of relying on a single deterministic hypothesis, BMA computes predictions using all retrieved historical analogs, each weighted by its posterior probability reflecting its historical predictive skill over a training period.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the BMA predictive PDF </w:t>
      </w:r>
      <w:r w:rsidDel="00000000" w:rsidR="00000000" w:rsidRPr="00000000">
        <w:rPr>
          <w:rFonts w:ascii="Google Sans" w:cs="Google Sans" w:eastAsia="Google Sans" w:hAnsi="Google Sans"/>
          <w:color w:val="1f1f1f"/>
        </w:rPr>
        <w:drawing>
          <wp:inline distB="19050" distT="19050" distL="19050" distR="19050">
            <wp:extent cx="821978" cy="229389"/>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821978" cy="2293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future market return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given current market state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historical training data </w:t>
      </w:r>
      <w:r w:rsidDel="00000000" w:rsidR="00000000" w:rsidRPr="00000000">
        <w:rPr>
          <w:rFonts w:ascii="Google Sans" w:cs="Google Sans" w:eastAsia="Google Sans" w:hAnsi="Google Sans"/>
          <w:color w:val="1f1f1f"/>
        </w:rPr>
        <w:drawing>
          <wp:inline distB="19050" distT="19050" distL="19050" distR="19050">
            <wp:extent cx="147340" cy="225922"/>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47340" cy="225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integral over the model parameter space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1689"/>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05500" cy="43168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practice, the BMA predictive PDF is represented as a finite mixture model, where the forecast is a weighted average of PDFs centered around the individual historical analogs.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the BMA predictive variance decomposes into two distinct components: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Between-Forecast Variability:</w:t>
      </w:r>
      <w:r w:rsidDel="00000000" w:rsidR="00000000" w:rsidRPr="00000000">
        <w:rPr>
          <w:rFonts w:ascii="Google Sans" w:cs="Google Sans" w:eastAsia="Google Sans" w:hAnsi="Google Sans"/>
          <w:color w:val="1f1f1f"/>
          <w:rtl w:val="0"/>
        </w:rPr>
        <w:t xml:space="preserve"> The variance indicating the spread or disagreement among the retrieved historical analogs.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Within-Forecast Variability:</w:t>
      </w:r>
      <w:r w:rsidDel="00000000" w:rsidR="00000000" w:rsidRPr="00000000">
        <w:rPr>
          <w:rFonts w:ascii="Google Sans" w:cs="Google Sans" w:eastAsia="Google Sans" w:hAnsi="Google Sans"/>
          <w:color w:val="1f1f1f"/>
          <w:rtl w:val="0"/>
        </w:rPr>
        <w:t xml:space="preserve"> The variance inherent to the individual analogs themselves.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traditional probability scaling (like Platt) often incorporates the first component but ignores the second, it systematically underestimates market risk.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utilizing BMA, the FPPE generates a continuous, mathematically rigorous probability surface that accurately reflects both systemic and idiosyncratic uncertainty.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BMA can be customized for non-normal distributions. In quantitative precipitation forecasting, BMA utilizes a mixture of a discrete component at zero (representing no rain) and a continuous gamma distribution for positive precipitation.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FPPE can adopt this exact formulation to model financial returns, utilizing a heavy-tailed Student's t-distribution for volatility alongside a discrete component representing localized trading halts or extreme low-volume flatlines.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numpy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np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scipy.stats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norm, t</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BayesianModelAveragingCalibrator: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__init__</w:t>
      </w:r>
      <w:r w:rsidDel="00000000" w:rsidR="00000000" w:rsidRPr="00000000">
        <w:rPr>
          <w:rFonts w:ascii="Google Sans" w:cs="Google Sans" w:eastAsia="Google Sans" w:hAnsi="Google Sans"/>
          <w:i w:val="0"/>
          <w:iCs w:val="0"/>
          <w:color w:val="444746"/>
          <w:sz w:val="20"/>
          <w:szCs w:val="20"/>
          <w:shd w:fill="f0f4f9" w:val="clear"/>
          <w:rtl w:val="0"/>
        </w:rPr>
        <w:t xml:space="preserve">(self, num_analogs, df=</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Initializes the BMA calibrator utilizing a heavy-tailed Student's t-distribution.</w:t>
        <w:br w:type="textWrapping"/>
        <w:t xml:space="preserve">        df: Degrees of freedom to control the fatness of the tails (default 3.0 for finance).</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self.num_analogs = num_analogs</w:t>
        <w:br w:type="textWrapping"/>
        <w:t xml:space="preserve">        self.df = df</w:t>
        <w:br w:type="textWrapping"/>
        <w:t xml:space="preserve">        self.weights = np.ones(num_analogs) / num_analogs</w:t>
        <w:br w:type="textWrapping"/>
        <w:t xml:space="preserve">        self.variances = np.ones(num_analogs)</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expectation_maximization_fit</w:t>
      </w:r>
      <w:r w:rsidDel="00000000" w:rsidR="00000000" w:rsidRPr="00000000">
        <w:rPr>
          <w:rFonts w:ascii="Google Sans" w:cs="Google Sans" w:eastAsia="Google Sans" w:hAnsi="Google Sans"/>
          <w:i w:val="0"/>
          <w:iCs w:val="0"/>
          <w:color w:val="444746"/>
          <w:sz w:val="20"/>
          <w:szCs w:val="20"/>
          <w:shd w:fill="f0f4f9" w:val="clear"/>
          <w:rtl w:val="0"/>
        </w:rPr>
        <w:t xml:space="preserve">(self, historical_analogs, realized_returns, max_iter=</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Optimizes BMA weights and variances using the Expectation-Maximization algorithm.</w:t>
        <w:br w:type="textWrapping"/>
        <w:t xml:space="preserve">        historical_analogs: Array of shape (N_training_samples, num_analogs)</w:t>
        <w:br w:type="textWrapping"/>
        <w:t xml:space="preserve">        realized_returns: Array of shape (N_training_samples,)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_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(max_iter):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E-step: Compute latent posterior probabilities</w:t>
      </w:r>
      <w:r w:rsidDel="00000000" w:rsidR="00000000" w:rsidRPr="00000000">
        <w:rPr>
          <w:rFonts w:ascii="Google Sans" w:cs="Google Sans" w:eastAsia="Google Sans" w:hAnsi="Google Sans"/>
          <w:color w:val="1f1f1f"/>
          <w:shd w:fill="f0f4f9" w:val="clear"/>
          <w:rtl w:val="0"/>
        </w:rPr>
        <w:br w:type="textWrapping"/>
        <w:t xml:space="preserve">            latent_pdfs = np.zeros((historical_analogs.shape, self.num_analogs))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(self.num_analogs):</w:t>
        <w:br w:type="textWrapping"/>
        <w:t xml:space="preserve">                scale = np.sqrt(self.variances[i]) + </w:t>
      </w:r>
      <w:r w:rsidDel="00000000" w:rsidR="00000000" w:rsidRPr="00000000">
        <w:rPr>
          <w:rFonts w:ascii="Google Sans" w:cs="Google Sans" w:eastAsia="Google Sans" w:hAnsi="Google Sans"/>
          <w:i w:val="0"/>
          <w:iCs w:val="0"/>
          <w:color w:val="b55908"/>
          <w:sz w:val="20"/>
          <w:szCs w:val="20"/>
          <w:shd w:fill="f0f4f9" w:val="clear"/>
          <w:rtl w:val="0"/>
        </w:rPr>
        <w:t xml:space="preserve">1e-8</w:t>
      </w:r>
      <w:r w:rsidDel="00000000" w:rsidR="00000000" w:rsidRPr="00000000">
        <w:rPr>
          <w:rFonts w:ascii="Google Sans" w:cs="Google Sans" w:eastAsia="Google Sans" w:hAnsi="Google Sans"/>
          <w:color w:val="1f1f1f"/>
          <w:shd w:fill="f0f4f9" w:val="clear"/>
          <w:rtl w:val="0"/>
        </w:rPr>
        <w:br w:type="textWrapping"/>
        <w:t xml:space="preserve">                latent_pdfs[:, i] = self.weights[i] * t.pdf(</w:t>
        <w:br w:type="textWrapping"/>
        <w:t xml:space="preserve">                    realized_returns, self.df, loc=historical_analogs[:, i], scale=scale</w:t>
        <w:br w:type="textWrapping"/>
        <w:t xml:space="preserve">                )</w:t>
        <w:br w:type="textWrapping"/>
        <w:t xml:space="preserve">            </w:t>
        <w:br w:type="textWrapping"/>
        <w:t xml:space="preserve">            total_pdf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(latent_pdfs, axis=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keepdims=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1e-10</w:t>
      </w:r>
      <w:r w:rsidDel="00000000" w:rsidR="00000000" w:rsidRPr="00000000">
        <w:rPr>
          <w:rFonts w:ascii="Google Sans" w:cs="Google Sans" w:eastAsia="Google Sans" w:hAnsi="Google Sans"/>
          <w:color w:val="1f1f1f"/>
          <w:shd w:fill="f0f4f9" w:val="clear"/>
          <w:rtl w:val="0"/>
        </w:rPr>
        <w:br w:type="textWrapping"/>
        <w:t xml:space="preserve">            latent_probs = latent_pdfs / total_pdf</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M-step: Update weights and model variances</w:t>
      </w:r>
      <w:r w:rsidDel="00000000" w:rsidR="00000000" w:rsidRPr="00000000">
        <w:rPr>
          <w:rFonts w:ascii="Google Sans" w:cs="Google Sans" w:eastAsia="Google Sans" w:hAnsi="Google Sans"/>
          <w:color w:val="1f1f1f"/>
          <w:shd w:fill="f0f4f9" w:val="clear"/>
          <w:rtl w:val="0"/>
        </w:rPr>
        <w:br w:type="textWrapping"/>
        <w:t xml:space="preserve">            self.weights = np.mean(latent_probs, axis=</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i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(self.num_analogs):</w:t>
        <w:br w:type="textWrapping"/>
        <w:t xml:space="preserve">                variance_num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(latent_probs[:, i] * (realized_returns - historical_analogs[:, i])**</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variance_den = np.</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(latent_probs[:, i]) + </w:t>
      </w:r>
      <w:r w:rsidDel="00000000" w:rsidR="00000000" w:rsidRPr="00000000">
        <w:rPr>
          <w:rFonts w:ascii="Google Sans" w:cs="Google Sans" w:eastAsia="Google Sans" w:hAnsi="Google Sans"/>
          <w:i w:val="0"/>
          <w:iCs w:val="0"/>
          <w:color w:val="b55908"/>
          <w:sz w:val="20"/>
          <w:szCs w:val="20"/>
          <w:shd w:fill="f0f4f9" w:val="clear"/>
          <w:rtl w:val="0"/>
        </w:rPr>
        <w:t xml:space="preserve">1e-10</w:t>
      </w:r>
      <w:r w:rsidDel="00000000" w:rsidR="00000000" w:rsidRPr="00000000">
        <w:rPr>
          <w:rFonts w:ascii="Google Sans" w:cs="Google Sans" w:eastAsia="Google Sans" w:hAnsi="Google Sans"/>
          <w:color w:val="1f1f1f"/>
          <w:shd w:fill="f0f4f9" w:val="clear"/>
          <w:rtl w:val="0"/>
        </w:rPr>
        <w:br w:type="textWrapping"/>
        <w:t xml:space="preserve">                self.variances[i] = variance_num / variance_den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generate_bma_pdf</w:t>
      </w:r>
      <w:r w:rsidDel="00000000" w:rsidR="00000000" w:rsidRPr="00000000">
        <w:rPr>
          <w:rFonts w:ascii="Google Sans" w:cs="Google Sans" w:eastAsia="Google Sans" w:hAnsi="Google Sans"/>
          <w:i w:val="0"/>
          <w:iCs w:val="0"/>
          <w:color w:val="444746"/>
          <w:sz w:val="20"/>
          <w:szCs w:val="20"/>
          <w:shd w:fill="f0f4f9" w:val="clear"/>
          <w:rtl w:val="0"/>
        </w:rPr>
        <w:t xml:space="preserve">(self, new_analogs, target_return_grid):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Generates the calibrated Probability Density Function (PDF) for future returns.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pdf = np.zeros_like(target_return_grid)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 a, v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zip</w:t>
      </w:r>
      <w:r w:rsidDel="00000000" w:rsidR="00000000" w:rsidRPr="00000000">
        <w:rPr>
          <w:rFonts w:ascii="Google Sans" w:cs="Google Sans" w:eastAsia="Google Sans" w:hAnsi="Google Sans"/>
          <w:color w:val="1f1f1f"/>
          <w:shd w:fill="f0f4f9" w:val="clear"/>
          <w:rtl w:val="0"/>
        </w:rPr>
        <w:t xml:space="preserve">(self.weights, new_analogs, self.variances):</w:t>
        <w:br w:type="textWrapping"/>
        <w:t xml:space="preserve">            scale = np.sqrt(v) + </w:t>
      </w:r>
      <w:r w:rsidDel="00000000" w:rsidR="00000000" w:rsidRPr="00000000">
        <w:rPr>
          <w:rFonts w:ascii="Google Sans" w:cs="Google Sans" w:eastAsia="Google Sans" w:hAnsi="Google Sans"/>
          <w:i w:val="0"/>
          <w:iCs w:val="0"/>
          <w:color w:val="b55908"/>
          <w:sz w:val="20"/>
          <w:szCs w:val="20"/>
          <w:shd w:fill="f0f4f9" w:val="clear"/>
          <w:rtl w:val="0"/>
        </w:rPr>
        <w:t xml:space="preserve">1e-8</w:t>
      </w:r>
      <w:r w:rsidDel="00000000" w:rsidR="00000000" w:rsidRPr="00000000">
        <w:rPr>
          <w:rFonts w:ascii="Google Sans" w:cs="Google Sans" w:eastAsia="Google Sans" w:hAnsi="Google Sans"/>
          <w:color w:val="1f1f1f"/>
          <w:shd w:fill="f0f4f9" w:val="clear"/>
          <w:rtl w:val="0"/>
        </w:rPr>
        <w:br w:type="textWrapping"/>
        <w:t xml:space="preserve">            pdf += w * t.pdf(target_return_grid, self.df, loc=a, scale=scale)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pdf</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transitioning the Phase 1 probability engine to BMA, the FPPE's three-filter gate (minimum matches, agreement spread, and confidence threshold) no longer operates on arbitrary margins. Instead, it computes exact confidence intervals directly from the BMA probability density function, significantly tightening the system's calibration and reducing false-positive BUY signals [User Query].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Risk Execution Part I: Geophysics, Seismic Slip-Deficit, and Time-To-Failure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Phase 2 of the FPPE integrates a dynamic risk management layer that abandons equal-weight simulation in favor of professional position sizing.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current risk_engine.py implements Average True Range (ATR) sizing to inversely correlate position exposure with prevailing market volatility, alongside drawdown scalars and automated stop-loss checks.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mathematically sound, these parameters rely on reactive, static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transform the risk engine into a predictive execution layer capable of anticipating catastrophic drawdowns before they materialize, the architecture must integrate structural failure models from geophysics and seismology.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Encoding Market Tension: The Financial Slip-Deficit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prediction of earthquakes has historically confounded Earth scientists due to the highly non-linear dynamics of tectonic plates.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recent advancements in machine learning applied to laboratory-scale stick-slip friction experiments have demonstrated that algorithms can accurately predict the instantaneous shear stress and failure of simulated fault lines.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concept in seismology is the "seismic cycle," which consists of an </w:t>
      </w:r>
      <w:r w:rsidDel="00000000" w:rsidR="00000000" w:rsidRPr="00000000">
        <w:rPr>
          <w:rFonts w:ascii="Google Sans" w:cs="Google Sans" w:eastAsia="Google Sans" w:hAnsi="Google Sans"/>
          <w:b w:val="1"/>
          <w:bCs w:val="1"/>
          <w:color w:val="1f1f1f"/>
          <w:rtl w:val="0"/>
        </w:rPr>
        <w:t xml:space="preserve">interseismic healing phase</w:t>
      </w:r>
      <w:r w:rsidDel="00000000" w:rsidR="00000000" w:rsidRPr="00000000">
        <w:rPr>
          <w:rFonts w:ascii="Google Sans" w:cs="Google Sans" w:eastAsia="Google Sans" w:hAnsi="Google Sans"/>
          <w:color w:val="1f1f1f"/>
          <w:rtl w:val="0"/>
        </w:rPr>
        <w:t xml:space="preserve"> (where contact junctions increase in size and tectonic strain accumulates) and a </w:t>
      </w:r>
      <w:r w:rsidDel="00000000" w:rsidR="00000000" w:rsidRPr="00000000">
        <w:rPr>
          <w:rFonts w:ascii="Google Sans" w:cs="Google Sans" w:eastAsia="Google Sans" w:hAnsi="Google Sans"/>
          <w:b w:val="1"/>
          <w:bCs w:val="1"/>
          <w:color w:val="1f1f1f"/>
          <w:rtl w:val="0"/>
        </w:rPr>
        <w:t xml:space="preserve">coseismic slip phase</w:t>
      </w:r>
      <w:r w:rsidDel="00000000" w:rsidR="00000000" w:rsidRPr="00000000">
        <w:rPr>
          <w:rFonts w:ascii="Google Sans" w:cs="Google Sans" w:eastAsia="Google Sans" w:hAnsi="Google Sans"/>
          <w:color w:val="1f1f1f"/>
          <w:rtl w:val="0"/>
        </w:rPr>
        <w:t xml:space="preserve"> (where the fault ruptures, releasing massive kinetic energy).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Geophysicists monitor this accumulation of strain by tracking the "slip-deficit"—the total tectonic strain that has not yet been released by actual movement.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the slip-deficit reaches a critical, unsustainable threshold, a major rupture becomes highly probable.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FPPE framework adapts this principle by treating the Limit Order Book (LOB) and the broader market liquidity landscape as a geological fault line.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financial </w:t>
      </w:r>
      <w:r w:rsidDel="00000000" w:rsidR="00000000" w:rsidRPr="00000000">
        <w:rPr>
          <w:rFonts w:ascii="Google Sans" w:cs="Google Sans" w:eastAsia="Google Sans" w:hAnsi="Google Sans"/>
          <w:b w:val="1"/>
          <w:bCs w:val="1"/>
          <w:color w:val="1f1f1f"/>
          <w:rtl w:val="0"/>
        </w:rPr>
        <w:t xml:space="preserve">slip-deficit</w:t>
      </w:r>
      <w:r w:rsidDel="00000000" w:rsidR="00000000" w:rsidRPr="00000000">
        <w:rPr>
          <w:rFonts w:ascii="Google Sans" w:cs="Google Sans" w:eastAsia="Google Sans" w:hAnsi="Google Sans"/>
          <w:color w:val="1f1f1f"/>
          <w:rtl w:val="0"/>
        </w:rPr>
        <w:t xml:space="preserve"> is mathematically constructed as the divergence between the current spot price of an asset and a fundamental anchor—such as a fundamental valuation metric, a long-term moving average (e.g., SMA-200), or a macroeconomic fair-value model.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speculative leverage fuels momentum, the spot price drifts further from its fundamental anchor, causing the slip-deficit to grow.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represents a financial "interseismic healing phase," a period where systemic fragility increases invisibly beneath a seemingly calm surface.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Often, this phase is characterized by unusually low realized volatility coupled with steadily rising margin debt, open interest, or derivatives leverage.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FAISS index and EMD engine query the 25-year database for analogs, they must be programmed to prioritize matching the </w:t>
      </w:r>
      <w:r w:rsidDel="00000000" w:rsidR="00000000" w:rsidRPr="00000000">
        <w:rPr>
          <w:rFonts w:ascii="Google Sans" w:cs="Google Sans" w:eastAsia="Google Sans" w:hAnsi="Google Sans"/>
          <w:i w:val="1"/>
          <w:iCs w:val="1"/>
          <w:color w:val="1f1f1f"/>
          <w:rtl w:val="0"/>
        </w:rPr>
        <w:t xml:space="preserve">current</w:t>
      </w:r>
      <w:r w:rsidDel="00000000" w:rsidR="00000000" w:rsidRPr="00000000">
        <w:rPr>
          <w:rFonts w:ascii="Google Sans" w:cs="Google Sans" w:eastAsia="Google Sans" w:hAnsi="Google Sans"/>
          <w:color w:val="1f1f1f"/>
          <w:rtl w:val="0"/>
        </w:rPr>
        <w:t xml:space="preserve"> slip-deficit level with </w:t>
      </w:r>
      <w:r w:rsidDel="00000000" w:rsidR="00000000" w:rsidRPr="00000000">
        <w:rPr>
          <w:rFonts w:ascii="Google Sans" w:cs="Google Sans" w:eastAsia="Google Sans" w:hAnsi="Google Sans"/>
          <w:i w:val="1"/>
          <w:iCs w:val="1"/>
          <w:color w:val="1f1f1f"/>
          <w:rtl w:val="0"/>
        </w:rPr>
        <w:t xml:space="preserve">historical</w:t>
      </w:r>
      <w:r w:rsidDel="00000000" w:rsidR="00000000" w:rsidRPr="00000000">
        <w:rPr>
          <w:rFonts w:ascii="Google Sans" w:cs="Google Sans" w:eastAsia="Google Sans" w:hAnsi="Google Sans"/>
          <w:color w:val="1f1f1f"/>
          <w:rtl w:val="0"/>
        </w:rPr>
        <w:t xml:space="preserve"> slip-deficit levels.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crucial architectural change ensures that the FPPE correctly anticipates a violent mean-reversion ("snap-back") rather than erroneously predicting a continuation of the trend simply because the recent geometric price curve appears bullish.</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Emissions and Time-To-Failure (TTF) Countdowns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decipher these loading cycles, seismological machine learning models (such as Random Forests, XGBoost, and LSTMs) rely on continuous </w:t>
      </w:r>
      <w:r w:rsidDel="00000000" w:rsidR="00000000" w:rsidRPr="00000000">
        <w:rPr>
          <w:rFonts w:ascii="Google Sans" w:cs="Google Sans" w:eastAsia="Google Sans" w:hAnsi="Google Sans"/>
          <w:b w:val="1"/>
          <w:bCs w:val="1"/>
          <w:color w:val="1f1f1f"/>
          <w:rtl w:val="0"/>
        </w:rPr>
        <w:t xml:space="preserve">acoustic emission (AE)</w:t>
      </w:r>
      <w:r w:rsidDel="00000000" w:rsidR="00000000" w:rsidRPr="00000000">
        <w:rPr>
          <w:rFonts w:ascii="Google Sans" w:cs="Google Sans" w:eastAsia="Google Sans" w:hAnsi="Google Sans"/>
          <w:color w:val="1f1f1f"/>
          <w:rtl w:val="0"/>
        </w:rPr>
        <w:t xml:space="preserve">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AE data captures micro-fractures and grain motions within the fault gouge long before a macroscopic failure occurs.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Models extract statistical features from these time-series waveforms, evaluating metrics such as rolling root mean square (RMS) amplitude, spectral peak frequency, variance, and autocorrelation within sliding time windows.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quantitative finance, the high-frequency "acoustic emissions" of the market are the continuous order submissions, cancellations, modifications, bid-ask spread variations, and micro-trades occurring within the LOB.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extracting analogous sliding-window features from these financial emissions, the FPPE transitions from predicting mere price direction to predicting the exact </w:t>
      </w:r>
      <w:r w:rsidDel="00000000" w:rsidR="00000000" w:rsidRPr="00000000">
        <w:rPr>
          <w:rFonts w:ascii="Google Sans" w:cs="Google Sans" w:eastAsia="Google Sans" w:hAnsi="Google Sans"/>
          <w:b w:val="1"/>
          <w:bCs w:val="1"/>
          <w:color w:val="1f1f1f"/>
          <w:rtl w:val="0"/>
        </w:rPr>
        <w:t xml:space="preserve">Time-To-Failure (TTF)</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measuring both Time-To-Failure (TTF) and Time-Since-Failure (TSF), the algorithms provide a continuous countdown to the next volatility expansion.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FPPE matches current LOB micro-structures to historical analogs to explicitly output a probability distribution of the time remaining before a sudden drawdown.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capability completely re-engineers Phase 2. The risk_engine.py module will ingest the TTF countdown; as the probability of failure approaches an imminent threshold, the engine autonomously tightens stop-loss parameters, suppresses the ATR position sizing scalar, and dynamically increases option hedging allocations.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Multiplex Contagion and the Hawkes Process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 volatility shock (an earthquake) in a 52-ticker universe does not occur in isolation. To forecast the spread of market panic, the FPPE adopts epidemiological multiplex network structures.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Traditional modeling assumes homogeneous populations, but modern computational epidemiology utilizes sophisticated multiplex architectures to track transmission across diverse, overlapping layers of social interaction (e.g., physical proximity, digital networks, public transportation).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contagion is modeled across three distinct, quantifiable multiplex layers within the FPPE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Fundamental / Supply Chain Layer:</w:t>
      </w:r>
      <w:r w:rsidDel="00000000" w:rsidR="00000000" w:rsidRPr="00000000">
        <w:rPr>
          <w:rFonts w:ascii="Google Sans" w:cs="Google Sans" w:eastAsia="Google Sans" w:hAnsi="Google Sans"/>
          <w:color w:val="1f1f1f"/>
          <w:rtl w:val="0"/>
        </w:rPr>
        <w:t xml:space="preserve"> Links tickers via direct business relationships, supplier dependencies, and shared regulatory jurisdictions (e.g., a shock to a semiconductor manufacturer immediately infecting dependent hardware firms).</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 Credit Exposure Layer:</w:t>
      </w:r>
      <w:r w:rsidDel="00000000" w:rsidR="00000000" w:rsidRPr="00000000">
        <w:rPr>
          <w:rFonts w:ascii="Google Sans" w:cs="Google Sans" w:eastAsia="Google Sans" w:hAnsi="Google Sans"/>
          <w:color w:val="1f1f1f"/>
          <w:rtl w:val="0"/>
        </w:rPr>
        <w:t xml:space="preserve"> Links tickers via shared institutional ownership, collateralized debt obligations, or direct counterparty risk (e.g., a bank default spreading to its debtors).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Statistical / Sentiment Layer:</w:t>
      </w:r>
      <w:r w:rsidDel="00000000" w:rsidR="00000000" w:rsidRPr="00000000">
        <w:rPr>
          <w:rFonts w:ascii="Google Sans" w:cs="Google Sans" w:eastAsia="Google Sans" w:hAnsi="Google Sans"/>
          <w:color w:val="1f1f1f"/>
          <w:rtl w:val="0"/>
        </w:rPr>
        <w:t xml:space="preserve"> Links tickers via algorithmic trading baskets, exchange-traded funds (ETFs), and historical price correlations, constructed using a Planar Maximally Filtered Graph (PMFG) based on upper tail dependence coefficients.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structuring the historical database as a continuous multiplex graph, the KNN engine evaluates the probability of transmission from Ticker A to Ticker B based on the aggregate weights of these multiplex edges.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quantify the "infectiousness" of current market action, the engine integrates the </w:t>
      </w:r>
      <w:r w:rsidDel="00000000" w:rsidR="00000000" w:rsidRPr="00000000">
        <w:rPr>
          <w:rFonts w:ascii="Google Sans" w:cs="Google Sans" w:eastAsia="Google Sans" w:hAnsi="Google Sans"/>
          <w:b w:val="1"/>
          <w:bCs w:val="1"/>
          <w:color w:val="1f1f1f"/>
          <w:rtl w:val="0"/>
        </w:rPr>
        <w:t xml:space="preserve">Hawkes process</w:t>
      </w:r>
      <w:r w:rsidDel="00000000" w:rsidR="00000000" w:rsidRPr="00000000">
        <w:rPr>
          <w:rFonts w:ascii="Google Sans" w:cs="Google Sans" w:eastAsia="Google Sans" w:hAnsi="Google Sans"/>
          <w:color w:val="1f1f1f"/>
          <w:rtl w:val="0"/>
        </w:rPr>
        <w:t xml:space="preserve">, a self-exciting point process where the occurrence of one event inherently increases the probability of near-term future events.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estimating the background intensity and self-exciting branching ratio of recent high-frequency trades, the FPPE ensures that panic-driven, cascading sell-offs are matched exclusively with historically contagious market panics.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Risk Execution Part II: Military OODA Loops, Circuit Breakers, and Data Governance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synthesis of TTF forecasting and multiplex contagion provides unparalleled predictive intelligence, but capitalizing on this intelligence requires absolute execution velocity. The physical execution of these Phase 2 risk parameters must occur instantaneously. To achieve this, the FPPE architecture must adapt the tactical decision-making frameworks of the United States military alongside the zero-latency architectures of quantitative High-Frequency Trading (HFT).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Military OODA Loop and Algorithmic Warfare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Observe, Orient, Decide, Act (OODA) loop</w:t>
      </w:r>
      <w:r w:rsidDel="00000000" w:rsidR="00000000" w:rsidRPr="00000000">
        <w:rPr>
          <w:rFonts w:ascii="Google Sans" w:cs="Google Sans" w:eastAsia="Google Sans" w:hAnsi="Google Sans"/>
          <w:color w:val="1f1f1f"/>
          <w:rtl w:val="0"/>
        </w:rPr>
        <w:t xml:space="preserve"> is a closed-loop architectural model developed by U.S. Air Force Colonel John Boyd to model combat decision-making and aircraft maneuverability.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core tenet of the OODA loop is that the entity capable of processing this cycle more rapidly and effectively than an opponent can "get inside" the adversary's decision cycle, thereby gaining a decisive strategic advantage.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Observe:</w:t>
      </w:r>
      <w:r w:rsidDel="00000000" w:rsidR="00000000" w:rsidRPr="00000000">
        <w:rPr>
          <w:rFonts w:ascii="Google Sans" w:cs="Google Sans" w:eastAsia="Google Sans" w:hAnsi="Google Sans"/>
          <w:color w:val="1f1f1f"/>
          <w:rtl w:val="0"/>
        </w:rPr>
        <w:t xml:space="preserve"> Gathering real-time data from multimodal sensor networks (equivalent to ingesting OHLCV data, limit order book telemetry, and macroeconomic indicators).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Orient:</w:t>
      </w:r>
      <w:r w:rsidDel="00000000" w:rsidR="00000000" w:rsidRPr="00000000">
        <w:rPr>
          <w:rFonts w:ascii="Google Sans" w:cs="Google Sans" w:eastAsia="Google Sans" w:hAnsi="Google Sans"/>
          <w:color w:val="1f1f1f"/>
          <w:rtl w:val="0"/>
        </w:rPr>
        <w:t xml:space="preserve"> Synthesizing observations with contextual factors to form a meaningful understanding of the threat landscape (equivalent to FAISS database querying and AnEn-CNN feature extraction).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Decide:</w:t>
      </w:r>
      <w:r w:rsidDel="00000000" w:rsidR="00000000" w:rsidRPr="00000000">
        <w:rPr>
          <w:rFonts w:ascii="Google Sans" w:cs="Google Sans" w:eastAsia="Google Sans" w:hAnsi="Google Sans"/>
          <w:color w:val="1f1f1f"/>
          <w:rtl w:val="0"/>
        </w:rPr>
        <w:t xml:space="preserve"> Selecting the optimal course of action based on orientation (equivalent to BMA probability calibration and TTF threshold evaluations).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w:t>
      </w:r>
      <w:r w:rsidDel="00000000" w:rsidR="00000000" w:rsidRPr="00000000">
        <w:rPr>
          <w:rFonts w:ascii="Google Sans" w:cs="Google Sans" w:eastAsia="Google Sans" w:hAnsi="Google Sans"/>
          <w:color w:val="1f1f1f"/>
          <w:rtl w:val="0"/>
        </w:rPr>
        <w:t xml:space="preserve"> Implementing the decision, generating new environmental variables that feed back into the loop (equivalent to routing executable signals through run_phase2.py).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linear planning models requiring early commitment, the continuous feedback loop enables late commitment and extreme agility.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the era of algorithmic warfare, the military integrates AI to execute the OODA loop at speeds exceeding human cognitive capacity, utilizing reinforcement learning to optimize execution timelines.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FPPE must mirror this. By restructuring the traditional, sequential Python trading workflow into a continuous, asynchronous OODA loop, the system eliminates human bottlenecking and executes capital preservation strategies dynamically.</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Zero-Latency Execution and Real-Time Circuit Breakers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process the OODA loop with near-zero latency, traditional Extract, Transform, Load (ETL) workflows must be discarded.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FPPE will adopt HFT hardware-software optimization techniques, transitioning to a zero-copy architecture.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Real-time market data parsed from exchange co-location facilities must be ingested directly into GPU-accelerated memory.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As the data lands, the system triggers the AnEn-CNN inferences and EMD calculations "in motion," updating dynamic risk scores before end-of-day batch analytics even begin.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this velocity requires automated safety envelopes to prevent catastrophic algorithmic cascading (flash crashes). The FPPE will implement military-grade Electronic Warfare (EW) signal de-noising and specialized outlier detection algorithms to serve as real-time, autonomous circuit breakers:</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Pattern Outlier Detection (CPOD):</w:t>
      </w:r>
      <w:r w:rsidDel="00000000" w:rsidR="00000000" w:rsidRPr="00000000">
        <w:rPr>
          <w:rFonts w:ascii="Google Sans" w:cs="Google Sans" w:eastAsia="Google Sans" w:hAnsi="Google Sans"/>
          <w:color w:val="1f1f1f"/>
          <w:rtl w:val="0"/>
        </w:rPr>
        <w:t xml:space="preserve"> This algorithm drastically improves computational efficiency utilizing a "core point" data structure and multi-distance indexing.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CPOD allows the system to rapidly identify normal market inliers, significantly reducing the search spaces required to validate outliers. It operates up to 73 times faster than older density-based methods.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Extended Incremental Local Outlier Factor (EILOF):</w:t>
      </w:r>
      <w:r w:rsidDel="00000000" w:rsidR="00000000" w:rsidRPr="00000000">
        <w:rPr>
          <w:rFonts w:ascii="Google Sans" w:cs="Google Sans" w:eastAsia="Google Sans" w:hAnsi="Google Sans"/>
          <w:color w:val="1f1f1f"/>
          <w:rtl w:val="0"/>
        </w:rPr>
        <w:t xml:space="preserve"> An improvement upon traditional density-based outlier detection, EILOF reduces computational costs while maintaining extreme accuracy as the volume of streaming tick data scales.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algorithms run persistently as background daemons. They establish statistical baselines (utilizing moving averages) to identify deviations and accommodate "concept drift"—phenomena where underlying statistical properties change rapidly due to macroeconomic shocks.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CPOD detects a massive, unprecedented anomaly in the incoming data stream (e.g., a massive flash-crash print caused by bad exchange data), the algorithm instantly severs the "Act" phase of the OODA loop, placing the risk engine into a quarantine state to protect capital until the signal is validated.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Data Governance: The VAULTIS Framework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AI-driven, zero-latency operations is predicated entirely on the integrity of the underlying 25-year historical database.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prevent catastrophic modeling errors, the FPPE must adopt the Department of Defense’s Data Strategy, specifically the </w:t>
      </w:r>
      <w:r w:rsidDel="00000000" w:rsidR="00000000" w:rsidRPr="00000000">
        <w:rPr>
          <w:rFonts w:ascii="Google Sans" w:cs="Google Sans" w:eastAsia="Google Sans" w:hAnsi="Google Sans"/>
          <w:b w:val="1"/>
          <w:bCs w:val="1"/>
          <w:color w:val="1f1f1f"/>
          <w:rtl w:val="0"/>
        </w:rPr>
        <w:t xml:space="preserve">VAULTIS</w:t>
      </w:r>
      <w:r w:rsidDel="00000000" w:rsidR="00000000" w:rsidRPr="00000000">
        <w:rPr>
          <w:rFonts w:ascii="Google Sans" w:cs="Google Sans" w:eastAsia="Google Sans" w:hAnsi="Google Sans"/>
          <w:color w:val="1f1f1f"/>
          <w:rtl w:val="0"/>
        </w:rPr>
        <w:t xml:space="preserve"> framework.</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VAULTIS establishes seven mandatory goals: </w:t>
      </w:r>
      <w:r w:rsidDel="00000000" w:rsidR="00000000" w:rsidRPr="00000000">
        <w:rPr>
          <w:rFonts w:ascii="Google Sans" w:cs="Google Sans" w:eastAsia="Google Sans" w:hAnsi="Google Sans"/>
          <w:b w:val="1"/>
          <w:bCs w:val="1"/>
          <w:color w:val="1f1f1f"/>
          <w:rtl w:val="0"/>
        </w:rPr>
        <w:t xml:space="preserve">Visible, Accessible, Understandable, Linked, Trustworthy, Interoperable, and Secure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cornerstone of this strategy for the FPPE is the "Trustworthy" tenet, which demands strict adherence to Data Provenance.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Provenance represents the exhaustive documentation of a dataset's origin, transformation history, ownership chain, and access controls.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By guaranteeing data pedigree, the system ensures that the historical returns utilized by the FAISS engine and the BMA calibrator are free from data poisoning, silent corruption, or adversarial manipulation.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Implementing immutable metadata tagging, cryptographic hashes, and strict lineage tracking for every fetched ticker ensures that the FPPE satisfies impending federal cybersecurity mandates and maintains absolute algorithmic integrity.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Review Plan: Upgrading Phase 1 &amp; 2 Codebases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FPPE repository houses the Phase 1 equal-weight logic and the Phase 2 risk management logic within the trading_system/ package.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transition this highly stable baseline to the interdisciplinary architecture outlined above, a rigorous, module-by-module retrospective review plan must be executed. This plan identifies the exact integration points for the new research methodologies.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Upgrading the Signal Adapter (trading_system/signal_adapter.py)</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State:</w:t>
      </w:r>
      <w:r w:rsidDel="00000000" w:rsidR="00000000" w:rsidRPr="00000000">
        <w:rPr>
          <w:rFonts w:ascii="Google Sans" w:cs="Google Sans" w:eastAsia="Google Sans" w:hAnsi="Google Sans"/>
          <w:color w:val="1f1f1f"/>
          <w:rtl w:val="0"/>
        </w:rPr>
        <w:t xml:space="preserve"> Normalizes the output from the KNN engine into a standard UnifiedSignal object.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AnEn-CNN and BMA Calibration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Plan:</w:t>
      </w:r>
      <w:r w:rsidDel="00000000" w:rsidR="00000000" w:rsidRPr="00000000">
        <w:rPr>
          <w:rFonts w:ascii="Google Sans" w:cs="Google Sans" w:eastAsia="Google Sans" w:hAnsi="Google Sans"/>
          <w:color w:val="1f1f1f"/>
          <w:rtl w:val="0"/>
        </w:rPr>
        <w:t xml:space="preserve"> The signal adapter must be rewritten to abandon Double-Pass Platt scaling. It will ingest the latent vectors from the AnEn-CNN feature extractor. The module must be updated to process the continuous Probability Density Function (PDF) output generated by the Bayesian Model Averaging (BMA) calibrator. The three-filter gate logic (minimum matches, agreement spread, confidence threshold) will be updated to execute mathematically rigorous integral checks against the BMA PDF to determine signal validity, rather than relying on binary classification margins.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Overhauling the Matching Engine (pattern_engine/matching.py)</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State:</w:t>
      </w:r>
      <w:r w:rsidDel="00000000" w:rsidR="00000000" w:rsidRPr="00000000">
        <w:rPr>
          <w:rFonts w:ascii="Google Sans" w:cs="Google Sans" w:eastAsia="Google Sans" w:hAnsi="Google Sans"/>
          <w:color w:val="1f1f1f"/>
          <w:rtl w:val="0"/>
        </w:rPr>
        <w:t xml:space="preserve"> Utilizes a ball_tree spatial indexing algorithm across the universe to compute historical distances.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FAISS (HNSW) and Earth Mover's Distance (EMD)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Plan:</w:t>
      </w:r>
      <w:r w:rsidDel="00000000" w:rsidR="00000000" w:rsidRPr="00000000">
        <w:rPr>
          <w:rFonts w:ascii="Google Sans" w:cs="Google Sans" w:eastAsia="Google Sans" w:hAnsi="Google Sans"/>
          <w:color w:val="1f1f1f"/>
          <w:rtl w:val="0"/>
        </w:rPr>
        <w:t xml:space="preserve"> Remove the ball_tree implementation. Implement the Two-Stage Retrieval Architecture. Instantiate the faiss.IndexHNSWFlat class to serve as the primary, low-latency search protocol (Stage 1). Modify the data ingestion pipeline to reshape the 8-feature return fingerprints into 2D </w:t>
      </w:r>
      <w:r w:rsidDel="00000000" w:rsidR="00000000" w:rsidRPr="00000000">
        <w:rPr>
          <w:rFonts w:ascii="Google Sans" w:cs="Google Sans" w:eastAsia="Google Sans" w:hAnsi="Google Sans"/>
          <w:color w:val="1f1f1f"/>
        </w:rPr>
        <w:drawing>
          <wp:inline distB="19050" distT="19050" distL="19050" distR="19050">
            <wp:extent cx="1144191" cy="228838"/>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144191"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tensors weighted by trade volume. Route the localized cluster of FAISS candidates into the new scipy Optimal Transport (EMD) algorithm (Stage 2) to determine the final, structurally aligned nearest neighbors.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Transforming the Risk Engine (trading_system/risk_engine.py &amp; risk_state.py)</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State:</w:t>
      </w:r>
      <w:r w:rsidDel="00000000" w:rsidR="00000000" w:rsidRPr="00000000">
        <w:rPr>
          <w:rFonts w:ascii="Google Sans" w:cs="Google Sans" w:eastAsia="Google Sans" w:hAnsi="Google Sans"/>
          <w:color w:val="1f1f1f"/>
          <w:rtl w:val="0"/>
        </w:rPr>
        <w:t xml:space="preserve"> Computes static ATR position sizing, drawdown scalars, and boolean stop-loss checks via PositionDecision and StopLossEvent dataclasses.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Seismic Slip-Deficit, TTF, Multiplex Contagion, and CPOD Circuit Breakers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Plan:</w:t>
      </w:r>
      <w:r w:rsidDel="00000000" w:rsidR="00000000" w:rsidRPr="00000000">
        <w:rPr>
          <w:rFonts w:ascii="Google Sans" w:cs="Google Sans" w:eastAsia="Google Sans" w:hAnsi="Google Sans"/>
          <w:color w:val="1f1f1f"/>
          <w:rtl w:val="0"/>
        </w:rPr>
        <w:t xml:space="preserve"> Introduce a pre-execution module that calculates the mathematical divergence (slip-deficit) between the current spot price and the SMA-200 anchor. Integrate the Time-To-Failure (TTF) continuous countdown derived from LOB "acoustic emissions." The static ATR multipliers must be converted into dynamic variables that suppress position size proportionally as the TTF countdown approaches zero. Incorporate the CPOD and EILOF algorithms directly into the StopLossEvent monitoring loop to act as an instantaneous, zero-latency circuit breaker against anomalous data spikes.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embed the Hawkes process branching ratio to monitor multiplex contagion, enforcing cross-sector portfolio liquidation upon the detection of systemic panic.</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Bayesian Hyperparameter Optimization (pattern_engine/config.py)</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State:</w:t>
      </w:r>
      <w:r w:rsidDel="00000000" w:rsidR="00000000" w:rsidRPr="00000000">
        <w:rPr>
          <w:rFonts w:ascii="Google Sans" w:cs="Google Sans" w:eastAsia="Google Sans" w:hAnsi="Google Sans"/>
          <w:color w:val="1f1f1f"/>
          <w:rtl w:val="0"/>
        </w:rPr>
        <w:t xml:space="preserve"> Utilizes locked, deterministic weights (ret_7d at 1.5, ret_90d at 0.5).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Research Integration: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Optuna TPE Sweeps (BayesianSweepRunner)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 Plan:</w:t>
      </w:r>
      <w:r w:rsidDel="00000000" w:rsidR="00000000" w:rsidRPr="00000000">
        <w:rPr>
          <w:rFonts w:ascii="Google Sans" w:cs="Google Sans" w:eastAsia="Google Sans" w:hAnsi="Google Sans"/>
          <w:color w:val="1f1f1f"/>
          <w:rtl w:val="0"/>
        </w:rPr>
        <w:t xml:space="preserve"> While the baseline weights are proven, integrating the new architectural parameters (FAISS efSearch, EMD time/price penalties, BMA degrees of freedom, TTF thresholds) requires automated tuning. The BayesianSweepRunner must be executed overnight across the expanded S&amp;P 500 training fold to discover the optimal multivariate parameter surface, allowing the engine to adapt dynamically to shifting macro regimes rather than relying on hard-coded heuristics.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scaling of the Financial Pattern Prediction Engine (FPPE) from a 52-ticker baseline to a comprehensive, S&amp;P 500 autonomous system requires abandoning the constraints of traditional econometrics. By systematically applying mature data structures and mathematical frameworks from distinct scientific domains, the architecture attains profound predictive nuance and execution security.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the foundational distance metric to the Earth Mover's Distance solves the inherent brittleness of time-series alignment, allowing the engine to match complex structural behaviors regardless of temporal distortion. Scaling this optimal transport via astronomical FAISS and HNSW graph indexing guarantees millisecond-level retrieval latency. Replacing rudimentary probability scaling with meteorological AnEn-CNN-BMA hybridization ensures the resulting signals are probabilistically rigorous and capable of modeling heavy-tailed volatility distributions. Finally, fortifying Phase 2 execution with geophysical Time-To-Failure (TTF) forecasting, multiplex contagion modeling, and the military's OODA loop and CPOD circuit breakers transforms the risk engine into a predictive shield. Executing the comprehensive review plan detailed in this blueprint will seamlessly integrate these cross-domain methodologies, establishing the FPPE as a state-of-the-art, unassailable financial prediction architecture.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PROJECT_GUIDE.md</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Cross-Domain Financial Analogue Engine</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Bayesian Model Averaging to Calibrate Forecast Ensembles - UW Statistics,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https://www.stat.washington.edu/raftery/Research/PDF/fadoua.pdf</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Exploration in Earth &amp; Word Movers Distance - Peter Baumgartner,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https://pmbaumgartner.github.io/blog/word-movers-distance-exploration/</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wasserstein_distance — SciPy v1.17.0 Manual,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https://docs.scipy.org/doc/scipy/reference/generated/scipy.stats.wasserstein_distance.html</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 Python Optimal Transport,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https://pythonot.github.io/</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wasserstein_distance_nd — SciPy v1.17.0 Manual,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https://docs.scipy.org/doc/scipy/reference/generated/scipy.stats.wasserstein_distance_nd.html</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FAISS, Vector indexing, and ANN - Kaggle,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https://www.kaggle.com/code/akashmathur2212/demystifying-faiss-vector-indexing-and-ann</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facebookresearch/faiss: A library for efficient similarity search and clustering of dense vectors. - GitHub,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https://github.com/facebookresearch/faiss</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Navigable Small Worlds (HNSW) - Pinecone,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https://www.pinecone.io/learn/series/faiss/hnsw/</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FAISS LIBRARY - IEEE Xplore,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https://ieeexplore.ieee.org/iel8/6687317/7153538/11202651.pdf</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IND-CPA Security of HQC Codes Using k-Nearest Neighbors - IEEE Xplore,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https://ieeexplore.ieee.org/iel8/6287639/10820123/11208634.pdf</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ANN (Approximate Nearest Neighbor Search): The Secret Ingredient of Recommendation Engines and Large-Scale AI | by KirtiSwagat | Medium,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https://medium.com/@Kirtiswagat/demystifying-ann-approximate-nearest-neighbor-search-the-secret-ingredient-of-recommendation-4eec66e638ef</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Nearest neighbor search on embeddings rapidly identifies distant protein relations - PMC,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https://pmc.ncbi.nlm.nih.gov/articles/PMC9714024/</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Analog-Ensemble–Convolutional-Neural-Network Method for Postprocessing Precipitation Forecasts in - AMS Journals,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https://journals.ametsoc.org/view/journals/mwre/150/6/MWR-D-21-0154.1.xml</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for post-processing ensemble weather forecasts - noaa/nesdis/star,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https://www.star.nesdis.noaa.gov/star/documents/meetings/2020AI/presentations/202010/20201022_Lerch.pdf</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Predictions from Deterministic Atmospheric River Forecasts with Deep Learning - AMS Journals,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https://journals.ametsoc.org/view/journals/mwre/150/1/MWR-D-21-0106.1.pdf</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Quantitative Precipitation Forecasting Using Bayesian Model Averaging | Request PDF - ResearchGate,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https://www.researchgate.net/publication/252996315_Probabilistic_Quantitative_Precipitation_Forecasting_Using_Bayesian_Model_Averaging</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analog-ensemble, convolutional-neural-network method for post-processing precipitation forecasts - ResearchGate,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https://www.researchgate.net/publication/359726930_A_hybrid_analog-ensemble_convolutional-neural-network_method_for_post-processing_precipitation_forecasts</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Artificial Neural Networks for Generating Probabilistic Subseasonal Precipitation Forecasts over California - the NOAA Institutional Repository,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https://repository.library.noaa.gov/view/noaa/31115/noaa_31115_DS1.pdf</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Power Forecasting on Smart Micro Grid Using CNN-LSTM Ensemble Method - JAIT-Journal of Advances in Information Technology,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https://www.jait.us/articles/2025/JAIT-V16N6-809.pdf</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Predictions from Deterministic Atmospheric River Forecasts with Deep Learning in - AMS Journals,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https://journals.ametsoc.org/view/journals/mwre/150/1/MWR-D-21-0106.1.xml</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Quantitative Precipitation Forecasting Using Bayesian Model Averaging - UW Statistics,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https://sites.stat.washington.edu/raftery/Research/PDF/Sloughter2007.pdf</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[1305.1184] Probabilistic wind speed forecasting using Bayesian model averaging with truncated normal components - arXiv.org,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https://arxiv.org/abs/1305.1184</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advayk/BayesianDeepLearning: Re-implementation of the paper titled "Bayesian Deep Learning and a Probabilistic Perspective of Generalization",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https://github.com/advayk/BayesianDeepLearning</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Fault interactions in the Sea of Marmara pull-apart (North Anatolian Fault): Earthquake clustering and propagating earthquake sequences | Request PDF - ResearchGate,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https://www.researchgate.net/publication/255624522_Fault_interactions_in_the_Sea_of_Marmara_pull-apart_North_Anatolian_Fault_Earthquake_clustering_and_propagating_earthquake_sequences</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Bayesian Model Averaging and Reliability Ensemble Averaging in Post-Processing Runoff Projections under Climate Change - MDPI,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https://www.mdpi.com/2073-4441/13/15/2124</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 Forecasting and Post-Processing | Coastal Meteorology and Atmospheric Prediction Group,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https://you.stonybrook.edu/comap/ensemble-forecasting-and-post-processing/</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creep failure time using machine learning - PMC,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https://pmc.ncbi.nlm.nih.gov/articles/PMC7547726/</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GV1028/earthquake_prediction: Class Project for CSE 237D - Predicting Earthquakes using Deep Learning - GitHub,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https://github.com/GV1028/earthquake_prediction</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Military and Finance Data Strategies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1305.1184" TargetMode="External"/><Relationship Id="rId20" Type="http://schemas.openxmlformats.org/officeDocument/2006/relationships/hyperlink" Target="https://pmbaumgartner.github.io/blog/word-movers-distance-exploration/" TargetMode="External"/><Relationship Id="rId42" Type="http://schemas.openxmlformats.org/officeDocument/2006/relationships/hyperlink" Target="https://www.researchgate.net/publication/255624522_Fault_interactions_in_the_Sea_of_Marmara_pull-apart_North_Anatolian_Fault_Earthquake_clustering_and_propagating_earthquake_sequences" TargetMode="External"/><Relationship Id="rId41" Type="http://schemas.openxmlformats.org/officeDocument/2006/relationships/hyperlink" Target="https://github.com/advayk/BayesianDeepLearning" TargetMode="External"/><Relationship Id="rId22" Type="http://schemas.openxmlformats.org/officeDocument/2006/relationships/hyperlink" Target="https://pythonot.github.io/" TargetMode="External"/><Relationship Id="rId44" Type="http://schemas.openxmlformats.org/officeDocument/2006/relationships/hyperlink" Target="https://you.stonybrook.edu/comap/ensemble-forecasting-and-post-processing/" TargetMode="External"/><Relationship Id="rId21" Type="http://schemas.openxmlformats.org/officeDocument/2006/relationships/hyperlink" Target="https://docs.scipy.org/doc/scipy/reference/generated/scipy.stats.wasserstein_distance.html" TargetMode="External"/><Relationship Id="rId43" Type="http://schemas.openxmlformats.org/officeDocument/2006/relationships/hyperlink" Target="https://www.mdpi.com/2073-4441/13/15/2124" TargetMode="External"/><Relationship Id="rId24" Type="http://schemas.openxmlformats.org/officeDocument/2006/relationships/hyperlink" Target="https://www.kaggle.com/code/akashmathur2212/demystifying-faiss-vector-indexing-and-ann" TargetMode="External"/><Relationship Id="rId46" Type="http://schemas.openxmlformats.org/officeDocument/2006/relationships/hyperlink" Target="https://github.com/GV1028/earthquake_prediction" TargetMode="External"/><Relationship Id="rId23" Type="http://schemas.openxmlformats.org/officeDocument/2006/relationships/hyperlink" Target="https://docs.scipy.org/doc/scipy/reference/generated/scipy.stats.wasserstein_distance_nd.html" TargetMode="External"/><Relationship Id="rId45" Type="http://schemas.openxmlformats.org/officeDocument/2006/relationships/hyperlink" Target="https://pmc.ncbi.nlm.nih.gov/articles/PMC75477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pinecone.io/learn/series/faiss/hnsw/" TargetMode="External"/><Relationship Id="rId25" Type="http://schemas.openxmlformats.org/officeDocument/2006/relationships/hyperlink" Target="https://github.com/facebookresearch/faiss" TargetMode="External"/><Relationship Id="rId28" Type="http://schemas.openxmlformats.org/officeDocument/2006/relationships/hyperlink" Target="https://ieeexplore.ieee.org/iel8/6287639/10820123/11208634.pdf" TargetMode="External"/><Relationship Id="rId27" Type="http://schemas.openxmlformats.org/officeDocument/2006/relationships/hyperlink" Target="https://ieeexplore.ieee.org/iel8/6687317/7153538/11202651.pdf"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medium.com/@Kirtiswagat/demystifying-ann-approximate-nearest-neighbor-search-the-secret-ingredient-of-recommendation-4eec66e638ef"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journals.ametsoc.org/view/journals/mwre/150/6/MWR-D-21-0154.1.xml" TargetMode="External"/><Relationship Id="rId30" Type="http://schemas.openxmlformats.org/officeDocument/2006/relationships/hyperlink" Target="https://pmc.ncbi.nlm.nih.gov/articles/PMC9714024/" TargetMode="External"/><Relationship Id="rId11" Type="http://schemas.openxmlformats.org/officeDocument/2006/relationships/image" Target="media/image5.png"/><Relationship Id="rId33" Type="http://schemas.openxmlformats.org/officeDocument/2006/relationships/hyperlink" Target="https://journals.ametsoc.org/view/journals/mwre/150/1/MWR-D-21-0106.1.pdf" TargetMode="External"/><Relationship Id="rId10" Type="http://schemas.openxmlformats.org/officeDocument/2006/relationships/image" Target="media/image7.png"/><Relationship Id="rId32" Type="http://schemas.openxmlformats.org/officeDocument/2006/relationships/hyperlink" Target="https://www.star.nesdis.noaa.gov/star/documents/meetings/2020AI/presentations/202010/20201022_Lerch.pdf" TargetMode="External"/><Relationship Id="rId13" Type="http://schemas.openxmlformats.org/officeDocument/2006/relationships/image" Target="media/image10.png"/><Relationship Id="rId35" Type="http://schemas.openxmlformats.org/officeDocument/2006/relationships/hyperlink" Target="https://www.researchgate.net/publication/359726930_A_hybrid_analog-ensemble_convolutional-neural-network_method_for_post-processing_precipitation_forecasts" TargetMode="External"/><Relationship Id="rId12" Type="http://schemas.openxmlformats.org/officeDocument/2006/relationships/image" Target="media/image8.png"/><Relationship Id="rId34" Type="http://schemas.openxmlformats.org/officeDocument/2006/relationships/hyperlink" Target="https://www.researchgate.net/publication/252996315_Probabilistic_Quantitative_Precipitation_Forecasting_Using_Bayesian_Model_Averaging" TargetMode="External"/><Relationship Id="rId15" Type="http://schemas.openxmlformats.org/officeDocument/2006/relationships/image" Target="media/image4.png"/><Relationship Id="rId37" Type="http://schemas.openxmlformats.org/officeDocument/2006/relationships/hyperlink" Target="https://www.jait.us/articles/2025/JAIT-V16N6-809.pdf" TargetMode="External"/><Relationship Id="rId14" Type="http://schemas.openxmlformats.org/officeDocument/2006/relationships/image" Target="media/image11.png"/><Relationship Id="rId36" Type="http://schemas.openxmlformats.org/officeDocument/2006/relationships/hyperlink" Target="https://repository.library.noaa.gov/view/noaa/31115/noaa_31115_DS1.pdf" TargetMode="External"/><Relationship Id="rId17" Type="http://schemas.openxmlformats.org/officeDocument/2006/relationships/image" Target="media/image9.png"/><Relationship Id="rId39" Type="http://schemas.openxmlformats.org/officeDocument/2006/relationships/hyperlink" Target="https://sites.stat.washington.edu/raftery/Research/PDF/Sloughter2007.pdf" TargetMode="External"/><Relationship Id="rId16" Type="http://schemas.openxmlformats.org/officeDocument/2006/relationships/image" Target="media/image6.png"/><Relationship Id="rId38" Type="http://schemas.openxmlformats.org/officeDocument/2006/relationships/hyperlink" Target="https://journals.ametsoc.org/view/journals/mwre/150/1/MWR-D-21-0106.1.xml" TargetMode="External"/><Relationship Id="rId19" Type="http://schemas.openxmlformats.org/officeDocument/2006/relationships/hyperlink" Target="https://www.stat.washington.edu/raftery/Research/PDF/fadoua.pdf"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