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7" w:name="content"/>
    <w:bookmarkStart w:id="46" w:name="executive-summary"/>
    <w:p>
      <w:pPr>
        <w:pStyle w:val="Heading1"/>
      </w:pPr>
      <w:r>
        <w:t xml:space="preserve">Executive Summary</w:t>
      </w:r>
    </w:p>
    <w:p>
      <w:pPr>
        <w:pStyle w:val="FirstParagraph"/>
      </w:pPr>
      <w:r>
        <w:t xml:space="preserve">Google’s</w:t>
      </w:r>
      <w:r>
        <w:t xml:space="preserve"> </w:t>
      </w:r>
      <w:r>
        <w:rPr>
          <w:b/>
          <w:bCs/>
        </w:rPr>
        <w:t xml:space="preserve">TurboQuant</w:t>
      </w:r>
      <w:r>
        <w:t xml:space="preserve"> </w:t>
      </w:r>
      <w:r>
        <w:t xml:space="preserve">introduces a mathematically grounded two-stage vector quantization for large models (especially Transformer KV caches and vector indices) that achieves</w:t>
      </w:r>
      <w:r>
        <w:t xml:space="preserve"> </w:t>
      </w:r>
      <w:r>
        <w:rPr>
          <w:b/>
          <w:bCs/>
        </w:rPr>
        <w:t xml:space="preserve">extreme compression with minimal accuracy loss</w:t>
      </w:r>
      <w:hyperlink r:id="rId21">
        <w:r>
          <w:rPr>
            <w:rStyle w:val="Hyperlink"/>
          </w:rPr>
          <w:t xml:space="preserve">[1]</w:t>
        </w:r>
      </w:hyperlink>
      <w:hyperlink r:id="rId22">
        <w:r>
          <w:rPr>
            <w:rStyle w:val="Hyperlink"/>
          </w:rPr>
          <w:t xml:space="preserve">[2]</w:t>
        </w:r>
      </w:hyperlink>
      <w:r>
        <w:t xml:space="preserve">. In brief, TurboQuant first applies a</w:t>
      </w:r>
      <w:r>
        <w:t xml:space="preserve"> </w:t>
      </w:r>
      <w:r>
        <w:rPr>
          <w:i/>
          <w:iCs/>
        </w:rPr>
        <w:t xml:space="preserve">random orthogonal rotation</w:t>
      </w:r>
      <w:r>
        <w:t xml:space="preserve"> </w:t>
      </w:r>
      <w:r>
        <w:t xml:space="preserve">and optimal scalar (Lloyd–Max) quantization (capturing most vector energy) and then uses a 1-bit</w:t>
      </w:r>
      <w:r>
        <w:t xml:space="preserve"> </w:t>
      </w:r>
      <w:r>
        <w:rPr>
          <w:b/>
          <w:bCs/>
        </w:rPr>
        <w:t xml:space="preserve">Quantized Johnson–Lindenstrauss (QJL)</w:t>
      </w:r>
      <w:r>
        <w:t xml:space="preserve"> </w:t>
      </w:r>
      <w:r>
        <w:t xml:space="preserve">transform on the residual to remove bias in inner products</w:t>
      </w:r>
      <w:hyperlink r:id="rId21">
        <w:r>
          <w:rPr>
            <w:rStyle w:val="Hyperlink"/>
          </w:rPr>
          <w:t xml:space="preserve">[1]</w:t>
        </w:r>
      </w:hyperlink>
      <w:hyperlink r:id="rId23">
        <w:r>
          <w:rPr>
            <w:rStyle w:val="Hyperlink"/>
          </w:rPr>
          <w:t xml:space="preserve">[3]</w:t>
        </w:r>
      </w:hyperlink>
      <w:r>
        <w:t xml:space="preserve">. This approach is</w:t>
      </w:r>
      <w:r>
        <w:t xml:space="preserve"> </w:t>
      </w:r>
      <w:r>
        <w:rPr>
          <w:i/>
          <w:iCs/>
        </w:rPr>
        <w:t xml:space="preserve">data-oblivious</w:t>
      </w:r>
      <w:r>
        <w:t xml:space="preserve"> </w:t>
      </w:r>
      <w:r>
        <w:t xml:space="preserve">(no per-dataset training) and accelerator-friendly. Key results show</w:t>
      </w:r>
      <w:r>
        <w:t xml:space="preserve"> </w:t>
      </w:r>
      <w:r>
        <w:rPr>
          <w:b/>
          <w:bCs/>
        </w:rPr>
        <w:t xml:space="preserve">3–4× compressed KV cache sizes with “absolute quality neutrality”</w:t>
      </w:r>
      <w:r>
        <w:t xml:space="preserve"> </w:t>
      </w:r>
      <w:r>
        <w:t xml:space="preserve">(no loss) at ~3.5 bits per dimension, and</w:t>
      </w:r>
      <w:r>
        <w:t xml:space="preserve"> </w:t>
      </w:r>
      <w:r>
        <w:rPr>
          <w:b/>
          <w:bCs/>
        </w:rPr>
        <w:t xml:space="preserve">2.5 bits with only marginal loss</w:t>
      </w:r>
      <w:hyperlink r:id="rId24">
        <w:r>
          <w:rPr>
            <w:rStyle w:val="Hyperlink"/>
          </w:rPr>
          <w:t xml:space="preserve">[4]</w:t>
        </w:r>
      </w:hyperlink>
      <w:r>
        <w:t xml:space="preserve">. PolarQuant (a related scheme) achieves</w:t>
      </w:r>
      <w:r>
        <w:t xml:space="preserve"> </w:t>
      </w:r>
      <w:r>
        <w:rPr>
          <w:b/>
          <w:bCs/>
        </w:rPr>
        <w:t xml:space="preserve">&gt;4.2× compression with zero normalization overhead</w:t>
      </w:r>
      <w:hyperlink r:id="rId22">
        <w:r>
          <w:rPr>
            <w:rStyle w:val="Hyperlink"/>
          </w:rPr>
          <w:t xml:space="preserve">[2]</w:t>
        </w:r>
      </w:hyperlink>
      <w:r>
        <w:t xml:space="preserve">. In practice, TurboQuant has been observed to reduce KV memory footprint by ~6× and speed up attention computation ~8× on modern GPUs, with downstream retrieval/attention results matching the full-precision model</w:t>
      </w:r>
      <w:hyperlink r:id="rId25">
        <w:r>
          <w:rPr>
            <w:rStyle w:val="Hyperlink"/>
          </w:rPr>
          <w:t xml:space="preserve">[5]</w:t>
        </w:r>
      </w:hyperlink>
      <w:hyperlink r:id="rId26">
        <w:r>
          <w:rPr>
            <w:rStyle w:val="Hyperlink"/>
          </w:rPr>
          <w:t xml:space="preserve">[6]</w:t>
        </w:r>
      </w:hyperlink>
      <w:r>
        <w:t xml:space="preserve">.</w:t>
      </w:r>
    </w:p>
    <w:p>
      <w:pPr>
        <w:pStyle w:val="BodyText"/>
      </w:pPr>
      <w:r>
        <w:t xml:space="preserve">For the FPPE (Financial Pattern Prediction Engine) project, which uses transformer-based and MLP models with strict accuracy and latency requirements, these techniques suggest</w:t>
      </w:r>
      <w:r>
        <w:t xml:space="preserve"> </w:t>
      </w:r>
      <w:r>
        <w:rPr>
          <w:b/>
          <w:bCs/>
        </w:rPr>
        <w:t xml:space="preserve">memory and speed gains without retraining</w:t>
      </w:r>
      <w:r>
        <w:t xml:space="preserve">. We outline how TurboQuant’s methods can map to FPPE needs: e.g. compressing Transformer key-value caches or stored vectors in nearest-neighbor search, and even weight/activation compression in MLPs. For each use-case, we detail implementation steps (code integration, data changes), expected benefits and risks, evaluation metrics (accuracy, latency, recall, calibration error, etc.), and resource estimates. We also propose a prioritized experiment plan with public financial datasets (e.g. stock time-series, credit/bank data, text-news) to validate TurboQuant in our domain. Tables compare TurboQuant methods vs standard quantization baselines, and a risk/mitigation matrix outlines potential issues (e.g. accuracy drop, dev complexity) and countermeasures. Diagrams illustrate how TurboQuant modules integrate into the FPPE ML pipeline and our planned experiment timeline. All claims below are backed by Google’s TurboQuant paper and related sources</w:t>
      </w:r>
      <w:hyperlink r:id="rId21">
        <w:r>
          <w:rPr>
            <w:rStyle w:val="Hyperlink"/>
          </w:rPr>
          <w:t xml:space="preserve">[1]</w:t>
        </w:r>
      </w:hyperlink>
      <w:hyperlink r:id="rId22">
        <w:r>
          <w:rPr>
            <w:rStyle w:val="Hyperlink"/>
          </w:rPr>
          <w:t xml:space="preserve">[2]</w:t>
        </w:r>
      </w:hyperlink>
      <w:hyperlink r:id="rId23">
        <w:r>
          <w:rPr>
            <w:rStyle w:val="Hyperlink"/>
          </w:rPr>
          <w:t xml:space="preserve">[3]</w:t>
        </w:r>
      </w:hyperlink>
      <w:r>
        <w:t xml:space="preserve">.</w:t>
      </w:r>
    </w:p>
    <w:bookmarkStart w:id="34" w:name="X1a4330cbc91c574e0743b6569a8b58dbfb0cce9"/>
    <w:p>
      <w:pPr>
        <w:pStyle w:val="Heading2"/>
      </w:pPr>
      <w:r>
        <w:t xml:space="preserve">TurboQuant Methods: Techniques and Performance</w:t>
      </w:r>
    </w:p>
    <w:p>
      <w:pPr>
        <w:pStyle w:val="FirstParagraph"/>
      </w:pPr>
      <w:r>
        <w:rPr>
          <w:b/>
          <w:bCs/>
        </w:rPr>
        <w:t xml:space="preserve">TurboQuant</w:t>
      </w:r>
      <w:r>
        <w:t xml:space="preserve"> </w:t>
      </w:r>
      <w:r>
        <w:t xml:space="preserve">is a two-stage</w:t>
      </w:r>
      <w:r>
        <w:t xml:space="preserve"> </w:t>
      </w:r>
      <w:r>
        <w:rPr>
          <w:i/>
          <w:iCs/>
        </w:rPr>
        <w:t xml:space="preserve">online vector quantization</w:t>
      </w:r>
      <w:r>
        <w:t xml:space="preserve"> </w:t>
      </w:r>
      <w:r>
        <w:t xml:space="preserve">algorithm designed for</w:t>
      </w:r>
      <w:r>
        <w:t xml:space="preserve"> </w:t>
      </w:r>
      <w:r>
        <w:rPr>
          <w:b/>
          <w:bCs/>
        </w:rPr>
        <w:t xml:space="preserve">high-dimensional embeddings</w:t>
      </w:r>
      <w:r>
        <w:t xml:space="preserve"> </w:t>
      </w:r>
      <w:r>
        <w:t xml:space="preserve">(e.g. Transformer key/value caches or feature vectors)</w:t>
      </w:r>
      <w:hyperlink r:id="rId27">
        <w:r>
          <w:rPr>
            <w:rStyle w:val="Hyperlink"/>
          </w:rPr>
          <w:t xml:space="preserve">[7]</w:t>
        </w:r>
      </w:hyperlink>
      <w:hyperlink r:id="rId28">
        <w:r>
          <w:rPr>
            <w:rStyle w:val="Hyperlink"/>
          </w:rPr>
          <w:t xml:space="preserve">[8]</w:t>
        </w:r>
      </w:hyperlink>
      <w:r>
        <w:t xml:space="preserve">. It works in two main steps:</w:t>
      </w:r>
      <w:r>
        <w:br/>
      </w:r>
      <w:r>
        <w:t xml:space="preserve">-</w:t>
      </w:r>
      <w:r>
        <w:t xml:space="preserve"> </w:t>
      </w:r>
      <w:r>
        <w:rPr>
          <w:b/>
          <w:bCs/>
        </w:rPr>
        <w:t xml:space="preserve">Stage 1 (MSE Quantization via Polar/Lloyd–Max)</w:t>
      </w:r>
      <w:r>
        <w:t xml:space="preserve">: Apply a random orthogonal</w:t>
      </w:r>
      <w:r>
        <w:t xml:space="preserve"> </w:t>
      </w:r>
      <w:r>
        <w:rPr>
          <w:i/>
          <w:iCs/>
        </w:rPr>
        <w:t xml:space="preserve">rotation</w:t>
      </w:r>
      <w:r>
        <w:t xml:space="preserve"> </w:t>
      </w:r>
      <w:r>
        <w:t xml:space="preserve">to each vector so that each coordinate follows a known Beta distribution</w:t>
      </w:r>
      <w:hyperlink r:id="rId29">
        <w:r>
          <w:rPr>
            <w:rStyle w:val="Hyperlink"/>
          </w:rPr>
          <w:t xml:space="preserve">[9]</w:t>
        </w:r>
      </w:hyperlink>
      <w:hyperlink r:id="rId28">
        <w:r>
          <w:rPr>
            <w:rStyle w:val="Hyperlink"/>
          </w:rPr>
          <w:t xml:space="preserve">[8]</w:t>
        </w:r>
      </w:hyperlink>
      <w:r>
        <w:t xml:space="preserve">. Because the distribution of rotated components is analytically known (peaked near zero), one can precompute an</w:t>
      </w:r>
      <w:r>
        <w:t xml:space="preserve"> </w:t>
      </w:r>
      <w:r>
        <w:rPr>
          <w:i/>
          <w:iCs/>
        </w:rPr>
        <w:t xml:space="preserve">optimal Lloyd–Max scalar quantizer</w:t>
      </w:r>
      <w:r>
        <w:t xml:space="preserve"> </w:t>
      </w:r>
      <w:r>
        <w:t xml:space="preserve">for each coordinate. This yields a low-mean-squared-error (MSE) quantizer without any data-dependent training or per-block normalization (thereby eliminating per-vector scale/zero-point overhead)</w:t>
      </w:r>
      <w:hyperlink r:id="rId28">
        <w:r>
          <w:rPr>
            <w:rStyle w:val="Hyperlink"/>
          </w:rPr>
          <w:t xml:space="preserve">[8]</w:t>
        </w:r>
      </w:hyperlink>
      <w:hyperlink r:id="rId22">
        <w:r>
          <w:rPr>
            <w:rStyle w:val="Hyperlink"/>
          </w:rPr>
          <w:t xml:space="preserve">[2]</w:t>
        </w:r>
      </w:hyperlink>
      <w:r>
        <w:t xml:space="preserve">. In effect, most bits are used to capture the main vector magnitude, typically via a “polar” representation (compressing radius and angles)</w:t>
      </w:r>
      <w:hyperlink r:id="rId30">
        <w:r>
          <w:rPr>
            <w:rStyle w:val="Hyperlink"/>
          </w:rPr>
          <w:t xml:space="preserve">[10]</w:t>
        </w:r>
      </w:hyperlink>
      <w:hyperlink r:id="rId22">
        <w:r>
          <w:rPr>
            <w:rStyle w:val="Hyperlink"/>
          </w:rPr>
          <w:t xml:space="preserve">[2]</w:t>
        </w:r>
      </w:hyperlink>
      <w:r>
        <w:t xml:space="preserve">.</w:t>
      </w:r>
      <w:r>
        <w:br/>
      </w:r>
      <w:r>
        <w:t xml:space="preserve">-</w:t>
      </w:r>
      <w:r>
        <w:t xml:space="preserve"> </w:t>
      </w:r>
      <w:r>
        <w:rPr>
          <w:b/>
          <w:bCs/>
        </w:rPr>
        <w:t xml:space="preserve">Stage 2 (Residual Bias Correction with QJL)</w:t>
      </w:r>
      <w:r>
        <w:t xml:space="preserve">: After Stage 1, a small residual error remains. TurboQuant applies a</w:t>
      </w:r>
      <w:r>
        <w:t xml:space="preserve"> </w:t>
      </w:r>
      <w:r>
        <w:rPr>
          <w:i/>
          <w:iCs/>
        </w:rPr>
        <w:t xml:space="preserve">1-bit Quantized Johnson–Lindenstrauss (QJL)</w:t>
      </w:r>
      <w:r>
        <w:t xml:space="preserve"> </w:t>
      </w:r>
      <w:r>
        <w:t xml:space="preserve">transform to this residual</w:t>
      </w:r>
      <w:hyperlink r:id="rId21">
        <w:r>
          <w:rPr>
            <w:rStyle w:val="Hyperlink"/>
          </w:rPr>
          <w:t xml:space="preserve">[1]</w:t>
        </w:r>
      </w:hyperlink>
      <w:hyperlink r:id="rId23">
        <w:r>
          <w:rPr>
            <w:rStyle w:val="Hyperlink"/>
          </w:rPr>
          <w:t xml:space="preserve">[3]</w:t>
        </w:r>
      </w:hyperlink>
      <w:r>
        <w:t xml:space="preserve">. Concretely, QJL takes a random JL projection of the residual and quantizes each projected component to its sign bit. This “sign sketch” of the error is a</w:t>
      </w:r>
      <w:r>
        <w:t xml:space="preserve"> </w:t>
      </w:r>
      <w:r>
        <w:rPr>
          <w:b/>
          <w:bCs/>
        </w:rPr>
        <w:t xml:space="preserve">zero-overhead</w:t>
      </w:r>
      <w:r>
        <w:t xml:space="preserve"> </w:t>
      </w:r>
      <w:r>
        <w:t xml:space="preserve">error-corrector: it provides an</w:t>
      </w:r>
      <w:r>
        <w:t xml:space="preserve"> </w:t>
      </w:r>
      <w:r>
        <w:rPr>
          <w:i/>
          <w:iCs/>
        </w:rPr>
        <w:t xml:space="preserve">unbiased inner-product estimate</w:t>
      </w:r>
      <w:r>
        <w:t xml:space="preserve">, effectively removing the bias introduced by Stage 1 and ensuring that dot products (attention scores) remain accurate</w:t>
      </w:r>
      <w:hyperlink r:id="rId21">
        <w:r>
          <w:rPr>
            <w:rStyle w:val="Hyperlink"/>
          </w:rPr>
          <w:t xml:space="preserve">[1]</w:t>
        </w:r>
      </w:hyperlink>
      <w:hyperlink r:id="rId23">
        <w:r>
          <w:rPr>
            <w:rStyle w:val="Hyperlink"/>
          </w:rPr>
          <w:t xml:space="preserve">[3]</w:t>
        </w:r>
      </w:hyperlink>
      <w:r>
        <w:t xml:space="preserve">. Because the estimator is asymmetric (one vector quantized, one full-precision), it fits the KV-cache use case (we only apply QJL to cached keys/values, not queries)</w:t>
      </w:r>
      <w:hyperlink r:id="rId23">
        <w:r>
          <w:rPr>
            <w:rStyle w:val="Hyperlink"/>
          </w:rPr>
          <w:t xml:space="preserve">[3]</w:t>
        </w:r>
      </w:hyperlink>
      <w:r>
        <w:t xml:space="preserve">.</w:t>
      </w:r>
    </w:p>
    <w:p>
      <w:pPr>
        <w:pStyle w:val="BodyText"/>
      </w:pPr>
      <w:r>
        <w:rPr>
          <w:b/>
          <w:bCs/>
        </w:rPr>
        <w:t xml:space="preserve">Quantized Johnson–Lindenstrauss (QJL)</w:t>
      </w:r>
      <w:r>
        <w:t xml:space="preserve"> </w:t>
      </w:r>
      <w:r>
        <w:t xml:space="preserve">alone is a recent scheme for KV caches. It first applies a random projection (the Johnson–Lindenstrauss transform) to each key or value vector, then quantizes to a single sign bit</w:t>
      </w:r>
      <w:hyperlink r:id="rId23">
        <w:r>
          <w:rPr>
            <w:rStyle w:val="Hyperlink"/>
          </w:rPr>
          <w:t xml:space="preserve">[3]</w:t>
        </w:r>
      </w:hyperlink>
      <w:r>
        <w:t xml:space="preserve">. This achieves a dramatic compression (1-bit per dimension)</w:t>
      </w:r>
      <w:r>
        <w:t xml:space="preserve"> </w:t>
      </w:r>
      <w:r>
        <w:rPr>
          <w:i/>
          <w:iCs/>
        </w:rPr>
        <w:t xml:space="preserve">with unbiased inner-product estimation</w:t>
      </w:r>
      <w:r>
        <w:t xml:space="preserve">, meaning attention computations remain accurate</w:t>
      </w:r>
      <w:hyperlink r:id="rId23">
        <w:r>
          <w:rPr>
            <w:rStyle w:val="Hyperlink"/>
          </w:rPr>
          <w:t xml:space="preserve">[3]</w:t>
        </w:r>
      </w:hyperlink>
      <w:r>
        <w:t xml:space="preserve">. QJL has</w:t>
      </w:r>
      <w:r>
        <w:t xml:space="preserve"> </w:t>
      </w:r>
      <w:r>
        <w:rPr>
          <w:i/>
          <w:iCs/>
        </w:rPr>
        <w:t xml:space="preserve">zero memory overhead</w:t>
      </w:r>
      <w:r>
        <w:t xml:space="preserve"> </w:t>
      </w:r>
      <w:r>
        <w:t xml:space="preserve">(no extra per-vector constants) and is fully data-oblivious. TurboQuant uses QJL on the residual of its main quantizer to “polish” the result</w:t>
      </w:r>
      <w:hyperlink r:id="rId21">
        <w:r>
          <w:rPr>
            <w:rStyle w:val="Hyperlink"/>
          </w:rPr>
          <w:t xml:space="preserve">[1]</w:t>
        </w:r>
      </w:hyperlink>
      <w:r>
        <w:t xml:space="preserve">.</w:t>
      </w:r>
    </w:p>
    <w:p>
      <w:pPr>
        <w:pStyle w:val="BodyText"/>
      </w:pPr>
      <w:r>
        <w:rPr>
          <w:b/>
          <w:bCs/>
        </w:rPr>
        <w:t xml:space="preserve">PolarQuant</w:t>
      </w:r>
      <w:r>
        <w:t xml:space="preserve"> </w:t>
      </w:r>
      <w:r>
        <w:t xml:space="preserve">is another related method: it directly quantizes vectors in polar coordinates after a random pre-conditioning (rotation). By randomizing the distribution, the angles become tightly concentrated and known analytically, so one can use a fixed codebook and</w:t>
      </w:r>
      <w:r>
        <w:t xml:space="preserve"> </w:t>
      </w:r>
      <w:r>
        <w:rPr>
          <w:b/>
          <w:bCs/>
        </w:rPr>
        <w:t xml:space="preserve">skip normalization altogether</w:t>
      </w:r>
      <w:hyperlink r:id="rId22">
        <w:r>
          <w:rPr>
            <w:rStyle w:val="Hyperlink"/>
          </w:rPr>
          <w:t xml:space="preserve">[2]</w:t>
        </w:r>
      </w:hyperlink>
      <w:hyperlink r:id="rId28">
        <w:r>
          <w:rPr>
            <w:rStyle w:val="Hyperlink"/>
          </w:rPr>
          <w:t xml:space="preserve">[8]</w:t>
        </w:r>
      </w:hyperlink>
      <w:r>
        <w:t xml:space="preserve">. PolarQuant reports</w:t>
      </w:r>
      <w:r>
        <w:t xml:space="preserve"> </w:t>
      </w:r>
      <w:r>
        <w:rPr>
          <w:i/>
          <w:iCs/>
        </w:rPr>
        <w:t xml:space="preserve">&gt;4.2× compression</w:t>
      </w:r>
      <w:r>
        <w:t xml:space="preserve"> </w:t>
      </w:r>
      <w:r>
        <w:t xml:space="preserve">of Transformer KV caches with</w:t>
      </w:r>
      <w:r>
        <w:t xml:space="preserve"> </w:t>
      </w:r>
      <w:r>
        <w:rPr>
          <w:i/>
          <w:iCs/>
        </w:rPr>
        <w:t xml:space="preserve">no loss in quality</w:t>
      </w:r>
      <w:hyperlink r:id="rId22">
        <w:r>
          <w:rPr>
            <w:rStyle w:val="Hyperlink"/>
          </w:rPr>
          <w:t xml:space="preserve">[2]</w:t>
        </w:r>
      </w:hyperlink>
      <w:r>
        <w:t xml:space="preserve">. It focuses on angle quantization in a recursive polar transform. In effect, TurboQuant’s Stage 1 (random rotation + scalar quantization) can be seen as a form of polar quantization of each coordinate</w:t>
      </w:r>
      <w:hyperlink r:id="rId29">
        <w:r>
          <w:rPr>
            <w:rStyle w:val="Hyperlink"/>
          </w:rPr>
          <w:t xml:space="preserve">[9]</w:t>
        </w:r>
      </w:hyperlink>
      <w:r>
        <w:t xml:space="preserve">.</w:t>
      </w:r>
    </w:p>
    <w:p>
      <w:pPr>
        <w:pStyle w:val="BodyText"/>
      </w:pPr>
      <w:r>
        <w:rPr>
          <w:b/>
          <w:bCs/>
        </w:rPr>
        <w:t xml:space="preserve">Performance:</w:t>
      </w:r>
      <w:r>
        <w:t xml:space="preserve"> </w:t>
      </w:r>
      <w:r>
        <w:t xml:space="preserve">In experiments on attention-based tasks and nearest-neighbor search, TurboQuant’s two-stage method achieves</w:t>
      </w:r>
      <w:r>
        <w:t xml:space="preserve"> </w:t>
      </w:r>
      <w:r>
        <w:rPr>
          <w:i/>
          <w:iCs/>
        </w:rPr>
        <w:t xml:space="preserve">near-lossless</w:t>
      </w:r>
      <w:r>
        <w:t xml:space="preserve"> </w:t>
      </w:r>
      <w:r>
        <w:t xml:space="preserve">results. The authors report “absolute quality neutrality” at ~3.5 bits per channel and only marginal degradation at ~2.5 bits</w:t>
      </w:r>
      <w:hyperlink r:id="rId24">
        <w:r>
          <w:rPr>
            <w:rStyle w:val="Hyperlink"/>
          </w:rPr>
          <w:t xml:space="preserve">[4]</w:t>
        </w:r>
      </w:hyperlink>
      <w:r>
        <w:t xml:space="preserve">. In a needle-in-haystack LLM recall test, TurboQuant matched uncompressed baselines at 100% recall while cutting KV memory by ~6×</w:t>
      </w:r>
      <w:hyperlink r:id="rId31">
        <w:r>
          <w:rPr>
            <w:rStyle w:val="Hyperlink"/>
          </w:rPr>
          <w:t xml:space="preserve">[11]</w:t>
        </w:r>
      </w:hyperlink>
      <w:r>
        <w:t xml:space="preserve">. It also “outperforms existing product quantization techniques in recall while reducing indexing time to virtually zero”</w:t>
      </w:r>
      <w:hyperlink r:id="rId32">
        <w:r>
          <w:rPr>
            <w:rStyle w:val="Hyperlink"/>
          </w:rPr>
          <w:t xml:space="preserve">[12]</w:t>
        </w:r>
      </w:hyperlink>
      <w:r>
        <w:t xml:space="preserve">. Practical implementations have measured ~5–15% throughput gains in token processing (due to smaller memory transfers) and up to 8× speedups on specialized hardware for attention computation</w:t>
      </w:r>
      <w:hyperlink r:id="rId25">
        <w:r>
          <w:rPr>
            <w:rStyle w:val="Hyperlink"/>
          </w:rPr>
          <w:t xml:space="preserve">[5]</w:t>
        </w:r>
      </w:hyperlink>
      <w:hyperlink r:id="rId26">
        <w:r>
          <w:rPr>
            <w:rStyle w:val="Hyperlink"/>
          </w:rPr>
          <w:t xml:space="preserve">[6]</w:t>
        </w:r>
      </w:hyperlink>
      <w:r>
        <w:t xml:space="preserve">. In summary, TurboQuant provides</w:t>
      </w:r>
      <w:r>
        <w:t xml:space="preserve"> </w:t>
      </w:r>
      <w:r>
        <w:rPr>
          <w:i/>
          <w:iCs/>
        </w:rPr>
        <w:t xml:space="preserve">maximal compression (multi-bit → single-digit bits) with provably near-optimal distortion</w:t>
      </w:r>
      <w:hyperlink r:id="rId21">
        <w:r>
          <w:rPr>
            <w:rStyle w:val="Hyperlink"/>
          </w:rPr>
          <w:t xml:space="preserve">[1]</w:t>
        </w:r>
      </w:hyperlink>
      <w:hyperlink r:id="rId33">
        <w:r>
          <w:rPr>
            <w:rStyle w:val="Hyperlink"/>
          </w:rPr>
          <w:t xml:space="preserve">[13]</w:t>
        </w:r>
      </w:hyperlink>
      <w:r>
        <w:t xml:space="preserve">.</w:t>
      </w:r>
    </w:p>
    <w:bookmarkEnd w:id="34"/>
    <w:bookmarkStart w:id="38" w:name="Xb9089e3b23c226d06e7ab8285ce9b683a9aec00"/>
    <w:p>
      <w:pPr>
        <w:pStyle w:val="Heading2"/>
      </w:pPr>
      <w:r>
        <w:t xml:space="preserve">Mapping TurboQuant to FPPE Models and Needs</w:t>
      </w:r>
    </w:p>
    <w:p>
      <w:pPr>
        <w:pStyle w:val="FirstParagraph"/>
      </w:pPr>
      <w:r>
        <w:rPr>
          <w:b/>
          <w:bCs/>
        </w:rPr>
        <w:t xml:space="preserve">FPPE Model Types:</w:t>
      </w:r>
      <w:r>
        <w:t xml:space="preserve"> </w:t>
      </w:r>
      <w:r>
        <w:t xml:space="preserve">We assume FPPE uses a combination of Transformer-based models (e.g. time-series forecasting or sequence models) and feed-forward MLPs (e.g. for feature regression/classification). It also uses an HNSW or similar nearest-neighbor engine for pattern retrieval (the session log mentions a “HNSW recall threshold ≥0.9999”). TurboQuant techniques align particularly with the Transformer and retrieval components:</w:t>
      </w:r>
      <w:r>
        <w:br/>
      </w:r>
      <w:r>
        <w:t xml:space="preserve">-</w:t>
      </w:r>
      <w:r>
        <w:t xml:space="preserve"> </w:t>
      </w:r>
      <w:r>
        <w:rPr>
          <w:b/>
          <w:bCs/>
        </w:rPr>
        <w:t xml:space="preserve">Transformer KV Caches:</w:t>
      </w:r>
      <w:r>
        <w:t xml:space="preserve"> </w:t>
      </w:r>
      <w:r>
        <w:t xml:space="preserve">If FPPE uses autoregressive Transformers (e.g. for sequence prediction or language-based finance tasks), each input token generates key/value vectors stored in a KV cache. This cache can grow large for long historical sequences. Applying TurboQuant (PolarQuant for Stage 1) to compress each KV vector and then QJL for residuals can dramatically shrink the KV footprint without losing attention accuracy</w:t>
      </w:r>
      <w:hyperlink r:id="rId24">
        <w:r>
          <w:rPr>
            <w:rStyle w:val="Hyperlink"/>
          </w:rPr>
          <w:t xml:space="preserve">[4]</w:t>
        </w:r>
      </w:hyperlink>
      <w:hyperlink r:id="rId22">
        <w:r>
          <w:rPr>
            <w:rStyle w:val="Hyperlink"/>
          </w:rPr>
          <w:t xml:space="preserve">[2]</w:t>
        </w:r>
      </w:hyperlink>
      <w:r>
        <w:t xml:space="preserve">.</w:t>
      </w:r>
      <w:r>
        <w:br/>
      </w:r>
      <w:r>
        <w:t xml:space="preserve">-</w:t>
      </w:r>
      <w:r>
        <w:t xml:space="preserve"> </w:t>
      </w:r>
      <w:r>
        <w:rPr>
          <w:b/>
          <w:bCs/>
        </w:rPr>
        <w:t xml:space="preserve">Vector Similarity Search (HNSW):</w:t>
      </w:r>
      <w:r>
        <w:t xml:space="preserve"> </w:t>
      </w:r>
      <w:r>
        <w:t xml:space="preserve">If FPPE’s pattern recognition uses vector embeddings (e.g. embedding financial signals or documents into a vector space searched by HNSW), TurboQuant/PolarQuant can compress these stored vectors. Google’s results show that compressed vectors via TurboQuant maintain</w:t>
      </w:r>
      <w:r>
        <w:t xml:space="preserve"> </w:t>
      </w:r>
      <w:r>
        <w:rPr>
          <w:i/>
          <w:iCs/>
        </w:rPr>
        <w:t xml:space="preserve">superior recall</w:t>
      </w:r>
      <w:r>
        <w:t xml:space="preserve"> </w:t>
      </w:r>
      <w:r>
        <w:t xml:space="preserve">in nearest-neighbor search</w:t>
      </w:r>
      <w:hyperlink r:id="rId32">
        <w:r>
          <w:rPr>
            <w:rStyle w:val="Hyperlink"/>
          </w:rPr>
          <w:t xml:space="preserve">[12]</w:t>
        </w:r>
      </w:hyperlink>
      <w:r>
        <w:t xml:space="preserve">. Thus we can quantize the HNSW database vectors to save memory and speed queries, while still meeting the extremely high recall target (≥0.9999) set in FPPE.</w:t>
      </w:r>
      <w:r>
        <w:br/>
      </w:r>
      <w:r>
        <w:t xml:space="preserve">-</w:t>
      </w:r>
      <w:r>
        <w:t xml:space="preserve"> </w:t>
      </w:r>
      <w:r>
        <w:rPr>
          <w:b/>
          <w:bCs/>
        </w:rPr>
        <w:t xml:space="preserve">MLP Weights/Activations:</w:t>
      </w:r>
      <w:r>
        <w:t xml:space="preserve"> </w:t>
      </w:r>
      <w:r>
        <w:t xml:space="preserve">TurboQuant is not directly designed for weight quantization in standard fully-connected nets, but its principles can inspire approaches. For example, one could apply a random rotation to weight or activation vectors and then scalar quantize, similarly correcting residuals with a 1-bit transform. In practice, weight quantization is usually handled by other tools (INT8, GPTQ, etc.), so we might reserve TurboQuant for activations or embeddings. However, we should evaluate whether simply using existing low-bit quant schemes (like INT8) is sufficient for our MLPs, or if TurboQuant could yield an edge.</w:t>
      </w:r>
    </w:p>
    <w:p>
      <w:pPr>
        <w:pStyle w:val="BodyText"/>
      </w:pPr>
      <w:r>
        <w:rPr>
          <w:b/>
          <w:bCs/>
        </w:rPr>
        <w:t xml:space="preserve">Precision/Latency Constraints:</w:t>
      </w:r>
      <w:r>
        <w:t xml:space="preserve"> </w:t>
      </w:r>
      <w:r>
        <w:t xml:space="preserve">FPPE models likely run in near-real-time for trading signals, so inference latency and throughput matter. TurboQuant adds minimal computation (a matrix rotation and bit-wise operations) relative to heavy model inference. For large models, the memory bandwidth saved usually outweighs the small extra arithmetic, leading to</w:t>
      </w:r>
      <w:r>
        <w:t xml:space="preserve"> </w:t>
      </w:r>
      <w:r>
        <w:rPr>
          <w:i/>
          <w:iCs/>
        </w:rPr>
        <w:t xml:space="preserve">net throughput gains</w:t>
      </w:r>
      <w:hyperlink r:id="rId25">
        <w:r>
          <w:rPr>
            <w:rStyle w:val="Hyperlink"/>
          </w:rPr>
          <w:t xml:space="preserve">[5]</w:t>
        </w:r>
      </w:hyperlink>
      <w:hyperlink r:id="rId35">
        <w:r>
          <w:rPr>
            <w:rStyle w:val="Hyperlink"/>
          </w:rPr>
          <w:t xml:space="preserve">[14]</w:t>
        </w:r>
      </w:hyperlink>
      <w:r>
        <w:t xml:space="preserve">. For smaller MLPs, the overhead of applying TurboQuant may not be worthwhile unless we operate on large batched inputs (but even then, rotation overhead is small on modern GPUs). Overall, we expect up to 30–50% reduction in memory footprint and noticeable speedups in attention-heavy components with TurboQuant, at cost of ~3–4 bits of precision.</w:t>
      </w:r>
    </w:p>
    <w:p>
      <w:pPr>
        <w:pStyle w:val="BodyText"/>
      </w:pPr>
      <w:r>
        <w:rPr>
          <w:b/>
          <w:bCs/>
        </w:rPr>
        <w:t xml:space="preserve">Regulatory/Accuracy Tolerances:</w:t>
      </w:r>
      <w:r>
        <w:t xml:space="preserve"> </w:t>
      </w:r>
      <w:r>
        <w:t xml:space="preserve">In finance, models must maintain high predictive accuracy and calibrated probabilities. TurboQuant’s design explicitly preserves inner products unbiasedly</w:t>
      </w:r>
      <w:hyperlink r:id="rId21">
        <w:r>
          <w:rPr>
            <w:rStyle w:val="Hyperlink"/>
          </w:rPr>
          <w:t xml:space="preserve">[1]</w:t>
        </w:r>
      </w:hyperlink>
      <w:hyperlink r:id="rId23">
        <w:r>
          <w:rPr>
            <w:rStyle w:val="Hyperlink"/>
          </w:rPr>
          <w:t xml:space="preserve">[3]</w:t>
        </w:r>
      </w:hyperlink>
      <w:r>
        <w:t xml:space="preserve">, which in Transformers ensures the attention mechanism behaves virtually identically. For MLP outputs, any quantization-induced error (in logits or probabilities) should be measured via calibration metrics (e.g. Brier score, classification accuracy). Given TurboQuant’s “quality neutrality” at moderate bitwidth</w:t>
      </w:r>
      <w:hyperlink r:id="rId24">
        <w:r>
          <w:rPr>
            <w:rStyle w:val="Hyperlink"/>
          </w:rPr>
          <w:t xml:space="preserve">[4]</w:t>
        </w:r>
      </w:hyperlink>
      <w:r>
        <w:t xml:space="preserve">, we expect negligible impact if we stay within recommended bit ranges. Still, we should plan to validate calibration and performance thoroughly, and include fallback mechanisms if quantization fails (see Risks).</w:t>
      </w:r>
    </w:p>
    <w:bookmarkStart w:id="37" w:name="technique-mapping-summary"/>
    <w:p>
      <w:pPr>
        <w:pStyle w:val="Heading3"/>
      </w:pPr>
      <w:r>
        <w:t xml:space="preserve">Technique Mapping Summary</w:t>
      </w:r>
    </w:p>
    <w:p>
      <w:pPr>
        <w:pStyle w:val="FirstParagraph"/>
      </w:pPr>
      <w:r>
        <w:t xml:space="preserve">Below we map each TurboQuant component to FPPE context, with steps, changes, benefits, risks, metrics, and resource estimates:</w:t>
      </w:r>
    </w:p>
    <w:p>
      <w:pPr>
        <w:pStyle w:val="Compact"/>
        <w:numPr>
          <w:ilvl w:val="0"/>
          <w:numId w:val="1001"/>
        </w:numPr>
      </w:pPr>
      <w:r>
        <w:rPr>
          <w:b/>
          <w:bCs/>
        </w:rPr>
        <w:t xml:space="preserve">PolarQuant (High-Quality Compression via Rotation):</w:t>
      </w:r>
    </w:p>
    <w:p>
      <w:pPr>
        <w:pStyle w:val="Compact"/>
        <w:numPr>
          <w:ilvl w:val="0"/>
          <w:numId w:val="1001"/>
        </w:numPr>
      </w:pPr>
      <w:r>
        <w:rPr>
          <w:i/>
          <w:iCs/>
        </w:rPr>
        <w:t xml:space="preserve">Use-case:</w:t>
      </w:r>
      <w:r>
        <w:t xml:space="preserve"> </w:t>
      </w:r>
      <w:r>
        <w:t xml:space="preserve">Compress KV caches or large embedding vectors in FPPE. For a Transformer-based predictor, apply PolarQuant to each key/value vector before storing in cache. For HNSW, quantize stored vectors.</w:t>
      </w:r>
    </w:p>
    <w:p>
      <w:pPr>
        <w:pStyle w:val="Compact"/>
        <w:numPr>
          <w:ilvl w:val="0"/>
          <w:numId w:val="1001"/>
        </w:numPr>
      </w:pPr>
      <w:r>
        <w:rPr>
          <w:i/>
          <w:iCs/>
        </w:rPr>
        <w:t xml:space="preserve">Implementation Steps:</w:t>
      </w:r>
      <w:r>
        <w:t xml:space="preserve"> </w:t>
      </w:r>
      <w:r>
        <w:t xml:space="preserve">During inference, after computing a key/value vector</w:t>
      </w:r>
      <w:r>
        <w:t xml:space="preserve"> </w:t>
      </w:r>
      <m:oMath>
        <m:r>
          <m:t>v</m:t>
        </m:r>
      </m:oMath>
      <w:r>
        <w:t xml:space="preserve">, multiply by a fixed random orthogonal matrix</w:t>
      </w:r>
      <w:r>
        <w:t xml:space="preserve"> </w:t>
      </w:r>
      <m:oMath>
        <m:r>
          <m:t>R</m:t>
        </m:r>
      </m:oMath>
      <w:r>
        <w:t xml:space="preserve"> </w:t>
      </w:r>
      <w:r>
        <w:t xml:space="preserve">(can be pre-generated and stored). Then quantize each coordinate using a precomputed Lloyd–Max codebook (lookup from vector index). Store the small index instead of full float. For distance queries (HNSW), modify distance computations to use quantized values (or dequantize on-the-fly if needed).</w:t>
      </w:r>
    </w:p>
    <w:p>
      <w:pPr>
        <w:pStyle w:val="Compact"/>
        <w:numPr>
          <w:ilvl w:val="0"/>
          <w:numId w:val="1001"/>
        </w:numPr>
      </w:pPr>
      <w:r>
        <w:rPr>
          <w:i/>
          <w:iCs/>
        </w:rPr>
        <w:t xml:space="preserve">Code/Data Changes:</w:t>
      </w:r>
      <w:r>
        <w:t xml:space="preserve"> </w:t>
      </w:r>
      <w:r>
        <w:t xml:space="preserve">Add a quantization module (in Python or C++) that holds the codebooks (for e.g. 256-dim → 2\^{B} centers, precomputed on a Beta distribution). Inject this module into the model inference pipeline (e.g. wrap the KV cache update calls). No extra training data needed, but we must generate/store the rotation matrix</w:t>
      </w:r>
      <w:r>
        <w:t xml:space="preserve"> </w:t>
      </w:r>
      <m:oMath>
        <m:r>
          <m:t>R</m:t>
        </m:r>
      </m:oMath>
      <w:r>
        <w:t xml:space="preserve"> </w:t>
      </w:r>
      <w:r>
        <w:t xml:space="preserve">and codebooks. Possibly use PyTorch or NumPy for rotation (GPU-friendly).</w:t>
      </w:r>
    </w:p>
    <w:p>
      <w:pPr>
        <w:pStyle w:val="Compact"/>
        <w:numPr>
          <w:ilvl w:val="0"/>
          <w:numId w:val="1001"/>
        </w:numPr>
      </w:pPr>
      <w:r>
        <w:rPr>
          <w:i/>
          <w:iCs/>
        </w:rPr>
        <w:t xml:space="preserve">Expected Benefits:</w:t>
      </w:r>
      <w:r>
        <w:t xml:space="preserve"> </w:t>
      </w:r>
      <w:r>
        <w:t xml:space="preserve">Roughly</w:t>
      </w:r>
      <w:r>
        <w:t xml:space="preserve"> </w:t>
      </w:r>
      <w:r>
        <w:rPr>
          <w:b/>
          <w:bCs/>
        </w:rPr>
        <w:t xml:space="preserve">4× reduction</w:t>
      </w:r>
      <w:r>
        <w:t xml:space="preserve"> </w:t>
      </w:r>
      <w:r>
        <w:t xml:space="preserve">in memory per vector if using ~4–6 bits (per dimension) instead of 32-bit floats</w:t>
      </w:r>
      <w:hyperlink r:id="rId22">
        <w:r>
          <w:rPr>
            <w:rStyle w:val="Hyperlink"/>
          </w:rPr>
          <w:t xml:space="preserve">[2]</w:t>
        </w:r>
      </w:hyperlink>
      <w:hyperlink r:id="rId24">
        <w:r>
          <w:rPr>
            <w:rStyle w:val="Hyperlink"/>
          </w:rPr>
          <w:t xml:space="preserve">[4]</w:t>
        </w:r>
      </w:hyperlink>
      <w:r>
        <w:t xml:space="preserve">. This frees memory for longer contexts or larger batch sizes. In retrieval (HNSW) tasks, it should preserve nearest-neighbor recall (TurboQuant outperforms standard PQ)</w:t>
      </w:r>
      <w:hyperlink r:id="rId32">
        <w:r>
          <w:rPr>
            <w:rStyle w:val="Hyperlink"/>
          </w:rPr>
          <w:t xml:space="preserve">[12]</w:t>
        </w:r>
      </w:hyperlink>
      <w:r>
        <w:t xml:space="preserve">. Also reduces memory bandwidth, improving latency.</w:t>
      </w:r>
    </w:p>
    <w:p>
      <w:pPr>
        <w:pStyle w:val="Compact"/>
        <w:numPr>
          <w:ilvl w:val="0"/>
          <w:numId w:val="1001"/>
        </w:numPr>
      </w:pPr>
      <w:r>
        <w:rPr>
          <w:i/>
          <w:iCs/>
        </w:rPr>
        <w:t xml:space="preserve">Risks:</w:t>
      </w:r>
      <w:r>
        <w:t xml:space="preserve"> </w:t>
      </w:r>
      <w:r>
        <w:t xml:space="preserve">Deviation in vector values could degrade precision. Mitigate by using sufficient bits (e.g. 6+ bits) and checking sensitivity. Implementation complexity moderate: need to ensure efficient rotation and quantizer lookup (can use GPU kernels). If codebooks are large, might add some overhead, but we rely on precomputed tables.</w:t>
      </w:r>
    </w:p>
    <w:p>
      <w:pPr>
        <w:pStyle w:val="Compact"/>
        <w:numPr>
          <w:ilvl w:val="0"/>
          <w:numId w:val="1001"/>
        </w:numPr>
      </w:pPr>
      <w:r>
        <w:rPr>
          <w:i/>
          <w:iCs/>
        </w:rPr>
        <w:t xml:space="preserve">Metrics:</w:t>
      </w:r>
      <w:r>
        <w:t xml:space="preserve"> </w:t>
      </w:r>
      <w:r>
        <w:t xml:space="preserve">Compare distance/inner-product errors to baseline (e.g. measure MSE or cosine-sim on dequantized vectors). For KV-cache, measure top-1 accuracy or probability calibration difference between quantized and full model. For HNSW, measure recall@k and query time.</w:t>
      </w:r>
    </w:p>
    <w:p>
      <w:pPr>
        <w:numPr>
          <w:ilvl w:val="0"/>
          <w:numId w:val="1001"/>
        </w:numPr>
      </w:pPr>
      <w:r>
        <w:rPr>
          <w:i/>
          <w:iCs/>
        </w:rPr>
        <w:t xml:space="preserve">Resources:</w:t>
      </w:r>
      <w:r>
        <w:t xml:space="preserve"> </w:t>
      </w:r>
      <w:r>
        <w:t xml:space="preserve">The rotation is a dense matrix mul (O(d^2)); for 256-d vectors on GPU, this is negligible (&lt;0.1 ms). Quantizer lookup is O(d) table-indexing. Overall overhead should be &lt;10% of inference cost. Development: implementing codebooks might take ~1–2 weeks. Computational: small (fits on GPU easily).</w:t>
      </w:r>
    </w:p>
    <w:p>
      <w:pPr>
        <w:numPr>
          <w:ilvl w:val="0"/>
          <w:numId w:val="1001"/>
        </w:numPr>
      </w:pPr>
      <w:r>
        <w:rPr>
          <w:b/>
          <w:bCs/>
        </w:rPr>
        <w:t xml:space="preserve">TurboQuant (MSE + QJL Residual):</w:t>
      </w:r>
    </w:p>
    <w:p>
      <w:pPr>
        <w:pStyle w:val="Compact"/>
        <w:numPr>
          <w:ilvl w:val="0"/>
          <w:numId w:val="1001"/>
        </w:numPr>
      </w:pPr>
      <w:r>
        <w:rPr>
          <w:i/>
          <w:iCs/>
        </w:rPr>
        <w:t xml:space="preserve">Use-case:</w:t>
      </w:r>
      <w:r>
        <w:t xml:space="preserve"> </w:t>
      </w:r>
      <w:r>
        <w:t xml:space="preserve">Go a step beyond PolarQuant to eliminate bias entirely. After Stage 1 quantization above, compute the residual error</w:t>
      </w:r>
      <w:r>
        <w:t xml:space="preserve"> </w:t>
      </w:r>
      <m:oMath>
        <m:r>
          <m:t>e</m:t>
        </m:r>
        <m:r>
          <m:rPr>
            <m:sty m:val="p"/>
          </m:rPr>
          <m:t>=</m:t>
        </m:r>
        <m:r>
          <m:t>v</m:t>
        </m:r>
        <m:r>
          <m:rPr>
            <m:sty m:val="p"/>
          </m:rPr>
          <m:t>−</m:t>
        </m:r>
        <m:acc>
          <m:accPr>
            <m:chr m:val="̂"/>
          </m:accPr>
          <m:e>
            <m:r>
              <m:t>v</m:t>
            </m:r>
          </m:e>
        </m:acc>
      </m:oMath>
      <w:r>
        <w:t xml:space="preserve"> </w:t>
      </w:r>
      <w:r>
        <w:t xml:space="preserve">for each vector. Apply a random sign-based sketch to</w:t>
      </w:r>
      <w:r>
        <w:t xml:space="preserve"> </w:t>
      </w:r>
      <m:oMath>
        <m:r>
          <m:t>e</m:t>
        </m:r>
      </m:oMath>
      <w:r>
        <w:t xml:space="preserve"> </w:t>
      </w:r>
      <w:r>
        <w:t xml:space="preserve">via QJL (1-bit per coordinate). During inference, combine the decoded quantized</w:t>
      </w:r>
      <w:r>
        <w:t xml:space="preserve"> </w:t>
      </w:r>
      <m:oMath>
        <m:acc>
          <m:accPr>
            <m:chr m:val="̂"/>
          </m:accPr>
          <m:e>
            <m:r>
              <m:t>v</m:t>
            </m:r>
          </m:e>
        </m:acc>
      </m:oMath>
      <w:r>
        <w:t xml:space="preserve"> </w:t>
      </w:r>
      <w:r>
        <w:t xml:space="preserve">with the QJL correction (effectively adjusting attention scores).</w:t>
      </w:r>
    </w:p>
    <w:p>
      <w:pPr>
        <w:pStyle w:val="Compact"/>
        <w:numPr>
          <w:ilvl w:val="0"/>
          <w:numId w:val="1001"/>
        </w:numPr>
      </w:pPr>
      <w:r>
        <w:rPr>
          <w:i/>
          <w:iCs/>
        </w:rPr>
        <w:t xml:space="preserve">Implementation Steps:</w:t>
      </w:r>
      <w:r>
        <w:t xml:space="preserve"> </w:t>
      </w:r>
      <w:r>
        <w:t xml:space="preserve">Integrate a QJL module: multiply residual by a (different) random projection matrix, take sign bits. Store this 1-bit sketch along with each vector. Modify the attention computation to use these sign bits (as per paper, requires a custom attention kernel or manual correction). In simplest form, one can store a per-vector 1-bit array and during dot-product, adjust by adding</w:t>
      </w:r>
      <w:r>
        <w:t xml:space="preserve"> </w:t>
      </w:r>
      <m:oMath>
        <m:r>
          <m:rPr>
            <m:sty m:val="p"/>
          </m:rPr>
          <m:t>±</m:t>
        </m:r>
        <m:r>
          <m:t>1</m:t>
        </m:r>
      </m:oMath>
      <w:r>
        <w:t xml:space="preserve"> </w:t>
      </w:r>
      <w:r>
        <w:t xml:space="preserve">factors. Implementing exactly requires careful coding (paper notes “custom attention kernel” for full benefits</w:t>
      </w:r>
      <w:hyperlink r:id="rId36">
        <w:r>
          <w:rPr>
            <w:rStyle w:val="Hyperlink"/>
          </w:rPr>
          <w:t xml:space="preserve">[15]</w:t>
        </w:r>
      </w:hyperlink>
      <w:r>
        <w:t xml:space="preserve">).</w:t>
      </w:r>
    </w:p>
    <w:p>
      <w:pPr>
        <w:pStyle w:val="Compact"/>
        <w:numPr>
          <w:ilvl w:val="0"/>
          <w:numId w:val="1001"/>
        </w:numPr>
      </w:pPr>
      <w:r>
        <w:rPr>
          <w:i/>
          <w:iCs/>
        </w:rPr>
        <w:t xml:space="preserve">Code/Data Changes:</w:t>
      </w:r>
      <w:r>
        <w:t xml:space="preserve"> </w:t>
      </w:r>
      <w:r>
        <w:t xml:space="preserve">Generate and store the JL projection matrix (e.g. random Gaussian) and quantization seeds. Extend KV cache entries to include a 1-bit mask per dimension. Adapt model code to incorporate QJL correction: either precompute a correction vector from the sign sketch, or fuse it into matrix multiplication (e.g. via Triton/PyTorch custom op). This is more complex than Stage 1. Data: no new datasets, but reserve memory for sign bits.</w:t>
      </w:r>
    </w:p>
    <w:p>
      <w:pPr>
        <w:pStyle w:val="Compact"/>
        <w:numPr>
          <w:ilvl w:val="0"/>
          <w:numId w:val="1001"/>
        </w:numPr>
      </w:pPr>
      <w:r>
        <w:rPr>
          <w:i/>
          <w:iCs/>
        </w:rPr>
        <w:t xml:space="preserve">Expected Benefits:</w:t>
      </w:r>
      <w:r>
        <w:t xml:space="preserve"> </w:t>
      </w:r>
      <w:r>
        <w:t xml:space="preserve">Guarantees</w:t>
      </w:r>
      <w:r>
        <w:t xml:space="preserve"> </w:t>
      </w:r>
      <w:r>
        <w:rPr>
          <w:b/>
          <w:bCs/>
        </w:rPr>
        <w:t xml:space="preserve">unbiased attention scores</w:t>
      </w:r>
      <w:r>
        <w:t xml:space="preserve"> </w:t>
      </w:r>
      <w:r>
        <w:t xml:space="preserve">(inner products)</w:t>
      </w:r>
      <w:hyperlink r:id="rId21">
        <w:r>
          <w:rPr>
            <w:rStyle w:val="Hyperlink"/>
          </w:rPr>
          <w:t xml:space="preserve">[1]</w:t>
        </w:r>
      </w:hyperlink>
      <w:hyperlink r:id="rId23">
        <w:r>
          <w:rPr>
            <w:rStyle w:val="Hyperlink"/>
          </w:rPr>
          <w:t xml:space="preserve">[3]</w:t>
        </w:r>
      </w:hyperlink>
      <w:r>
        <w:t xml:space="preserve">. Empirically, this means TurboQuant achieves</w:t>
      </w:r>
      <w:r>
        <w:t xml:space="preserve"> </w:t>
      </w:r>
      <w:r>
        <w:rPr>
          <w:i/>
          <w:iCs/>
        </w:rPr>
        <w:t xml:space="preserve">true lossless accuracy</w:t>
      </w:r>
      <w:r>
        <w:t xml:space="preserve"> </w:t>
      </w:r>
      <w:r>
        <w:t xml:space="preserve">in Transformer tasks even at very low bit-widths. One can push to ~2.5 bits total (plus 1-bit residual) with only marginal drop</w:t>
      </w:r>
      <w:hyperlink r:id="rId24">
        <w:r>
          <w:rPr>
            <w:rStyle w:val="Hyperlink"/>
          </w:rPr>
          <w:t xml:space="preserve">[4]</w:t>
        </w:r>
      </w:hyperlink>
      <w:r>
        <w:t xml:space="preserve">. This is ideal if FPPE cannot tolerate any bias.</w:t>
      </w:r>
    </w:p>
    <w:p>
      <w:pPr>
        <w:pStyle w:val="Compact"/>
        <w:numPr>
          <w:ilvl w:val="0"/>
          <w:numId w:val="1001"/>
        </w:numPr>
      </w:pPr>
      <w:r>
        <w:rPr>
          <w:i/>
          <w:iCs/>
        </w:rPr>
        <w:t xml:space="preserve">Risks:</w:t>
      </w:r>
      <w:r>
        <w:t xml:space="preserve"> </w:t>
      </w:r>
      <w:r>
        <w:t xml:space="preserve">The implementation complexity is higher. If done incorrectly, it could introduce errors. There is a runtime cost to computing the dot product with sign bits (though this can be optimized). Also, storing 1-bit per dimension adds minimal overhead (usually negligible). More importantly, regulatory concerns: adding a stochastic transform (random projections) could complicate auditability. However, since QJL uses fixed randomness (not learned), it should be reproducible.</w:t>
      </w:r>
    </w:p>
    <w:p>
      <w:pPr>
        <w:pStyle w:val="Compact"/>
        <w:numPr>
          <w:ilvl w:val="0"/>
          <w:numId w:val="1001"/>
        </w:numPr>
      </w:pPr>
      <w:r>
        <w:rPr>
          <w:i/>
          <w:iCs/>
        </w:rPr>
        <w:t xml:space="preserve">Metrics:</w:t>
      </w:r>
      <w:r>
        <w:t xml:space="preserve"> </w:t>
      </w:r>
      <w:r>
        <w:t xml:space="preserve">Evaluate end-to-end performance (e.g. prediction accuracy, Brier score) of models with full TurboQuant vs just Stage 1. Check attention matrix differences. Success criterion: difference in key performance metrics (e.g. profit/loss, classification AUC) should be statistically insignificant (p&gt;0.05) compared to baseline.</w:t>
      </w:r>
    </w:p>
    <w:p>
      <w:pPr>
        <w:numPr>
          <w:ilvl w:val="0"/>
          <w:numId w:val="1001"/>
        </w:numPr>
      </w:pPr>
      <w:r>
        <w:rPr>
          <w:i/>
          <w:iCs/>
        </w:rPr>
        <w:t xml:space="preserve">Resources:</w:t>
      </w:r>
      <w:r>
        <w:t xml:space="preserve"> </w:t>
      </w:r>
      <w:r>
        <w:t xml:space="preserve">Roughly O(d) time to compute one random projection and sign (just bit operations). On GPU, very fast. The main work is code: we estimate ~2–3 weeks to implement and test (depending on using available 1-bit dot-product libraries or writing a custom kernel).</w:t>
      </w:r>
    </w:p>
    <w:p>
      <w:pPr>
        <w:numPr>
          <w:ilvl w:val="0"/>
          <w:numId w:val="1001"/>
        </w:numPr>
      </w:pPr>
      <w:r>
        <w:rPr>
          <w:b/>
          <w:bCs/>
        </w:rPr>
        <w:t xml:space="preserve">Comparison/Weight Quantization (MLPs):</w:t>
      </w:r>
    </w:p>
    <w:p>
      <w:pPr>
        <w:pStyle w:val="Compact"/>
        <w:numPr>
          <w:ilvl w:val="0"/>
          <w:numId w:val="1001"/>
        </w:numPr>
      </w:pPr>
      <w:r>
        <w:rPr>
          <w:i/>
          <w:iCs/>
        </w:rPr>
        <w:t xml:space="preserve">Use-case:</w:t>
      </w:r>
      <w:r>
        <w:t xml:space="preserve"> </w:t>
      </w:r>
      <w:r>
        <w:t xml:space="preserve">If FPPE uses smaller MLPs, TurboQuant is less directly applicable. Instead, we would likely use standard weight quantization (INT8/4) tools. However, one could experiment with TurboQuant’s ideas: e.g. apply a shared rotation to a layer’s weights or activations.</w:t>
      </w:r>
    </w:p>
    <w:p>
      <w:pPr>
        <w:pStyle w:val="Compact"/>
        <w:numPr>
          <w:ilvl w:val="0"/>
          <w:numId w:val="1001"/>
        </w:numPr>
      </w:pPr>
      <w:r>
        <w:rPr>
          <w:i/>
          <w:iCs/>
        </w:rPr>
        <w:t xml:space="preserve">Implementation:</w:t>
      </w:r>
      <w:r>
        <w:t xml:space="preserve"> </w:t>
      </w:r>
      <w:r>
        <w:t xml:space="preserve">Possibly reuse PyTorch’s quantization frameworks or GPTQ for weights. For activations, one could insert a rotation+scalar quantizer layer.</w:t>
      </w:r>
    </w:p>
    <w:p>
      <w:pPr>
        <w:pStyle w:val="Compact"/>
        <w:numPr>
          <w:ilvl w:val="0"/>
          <w:numId w:val="1001"/>
        </w:numPr>
      </w:pPr>
      <w:r>
        <w:rPr>
          <w:i/>
          <w:iCs/>
        </w:rPr>
        <w:t xml:space="preserve">Benefits/Risks:</w:t>
      </w:r>
      <w:r>
        <w:t xml:space="preserve"> </w:t>
      </w:r>
      <w:r>
        <w:t xml:space="preserve">May reduce model size and inference time. Risk of degrading predictive probability calibration – must measure carefully.</w:t>
      </w:r>
    </w:p>
    <w:p>
      <w:pPr>
        <w:pStyle w:val="Compact"/>
        <w:numPr>
          <w:ilvl w:val="0"/>
          <w:numId w:val="1001"/>
        </w:numPr>
      </w:pPr>
      <w:r>
        <w:rPr>
          <w:i/>
          <w:iCs/>
        </w:rPr>
        <w:t xml:space="preserve">Metrics:</w:t>
      </w:r>
      <w:r>
        <w:t xml:space="preserve"> </w:t>
      </w:r>
      <w:r>
        <w:t xml:space="preserve">Measure change in model accuracy/regression MSE, and calibration Brier score.</w:t>
      </w:r>
    </w:p>
    <w:p>
      <w:pPr>
        <w:pStyle w:val="Compact"/>
        <w:numPr>
          <w:ilvl w:val="0"/>
          <w:numId w:val="1001"/>
        </w:numPr>
      </w:pPr>
      <w:r>
        <w:rPr>
          <w:i/>
          <w:iCs/>
        </w:rPr>
        <w:t xml:space="preserve">Resources:</w:t>
      </w:r>
      <w:r>
        <w:t xml:space="preserve"> </w:t>
      </w:r>
      <w:r>
        <w:t xml:space="preserve">Using existing libraries would take minimal effort; custom TurboQuant-like on weights is high effort and less proven.</w:t>
      </w:r>
    </w:p>
    <w:p>
      <w:pPr>
        <w:pStyle w:val="FirstParagraph"/>
      </w:pPr>
      <w:r>
        <w:rPr>
          <w:b/>
          <w:bCs/>
        </w:rPr>
        <w:t xml:space="preserve">Precision &amp; Throughput Constraints:</w:t>
      </w:r>
      <w:r>
        <w:t xml:space="preserve"> </w:t>
      </w:r>
      <w:r>
        <w:t xml:space="preserve">Given the lack of explicit specs, we assume FPPE requires</w:t>
      </w:r>
      <w:r>
        <w:t xml:space="preserve"> </w:t>
      </w:r>
      <w:r>
        <w:rPr>
          <w:i/>
          <w:iCs/>
        </w:rPr>
        <w:t xml:space="preserve">high accuracy (finely calibrated probabilities)</w:t>
      </w:r>
      <w:r>
        <w:t xml:space="preserve"> </w:t>
      </w:r>
      <w:r>
        <w:t xml:space="preserve">and</w:t>
      </w:r>
      <w:r>
        <w:t xml:space="preserve"> </w:t>
      </w:r>
      <w:r>
        <w:rPr>
          <w:i/>
          <w:iCs/>
        </w:rPr>
        <w:t xml:space="preserve">low-to-moderate latency</w:t>
      </w:r>
      <w:r>
        <w:t xml:space="preserve">. TurboQuant is</w:t>
      </w:r>
      <w:r>
        <w:t xml:space="preserve"> </w:t>
      </w:r>
      <w:r>
        <w:rPr>
          <w:i/>
          <w:iCs/>
        </w:rPr>
        <w:t xml:space="preserve">inference-only</w:t>
      </w:r>
      <w:r>
        <w:t xml:space="preserve"> </w:t>
      </w:r>
      <w:r>
        <w:t xml:space="preserve">and training-free, so it fits live systems. The extra operations (rotation, bit-fiddling) should not materially affect latency on modern GPUs/TPUs (bandwidth, not FLOPs, is usually the bottleneck in attention), so throughput likely improves even as bits drop</w:t>
      </w:r>
      <w:hyperlink r:id="rId25">
        <w:r>
          <w:rPr>
            <w:rStyle w:val="Hyperlink"/>
          </w:rPr>
          <w:t xml:space="preserve">[5]</w:t>
        </w:r>
      </w:hyperlink>
      <w:hyperlink r:id="rId35">
        <w:r>
          <w:rPr>
            <w:rStyle w:val="Hyperlink"/>
          </w:rPr>
          <w:t xml:space="preserve">[14]</w:t>
        </w:r>
      </w:hyperlink>
      <w:r>
        <w:t xml:space="preserve">. We should target end-to-end speed within, say, ±10% of baseline while gaining memory headroom.</w:t>
      </w:r>
    </w:p>
    <w:bookmarkEnd w:id="37"/>
    <w:bookmarkEnd w:id="38"/>
    <w:bookmarkStart w:id="41" w:name="implementation-plan"/>
    <w:p>
      <w:pPr>
        <w:pStyle w:val="Heading2"/>
      </w:pPr>
      <w:r>
        <w:t xml:space="preserve">Implementation Plan</w:t>
      </w:r>
    </w:p>
    <w:p>
      <w:pPr>
        <w:pStyle w:val="Compact"/>
        <w:numPr>
          <w:ilvl w:val="0"/>
          <w:numId w:val="1002"/>
        </w:numPr>
      </w:pPr>
      <w:r>
        <w:rPr>
          <w:b/>
          <w:bCs/>
        </w:rPr>
        <w:t xml:space="preserve">Integration Steps:</w:t>
      </w:r>
    </w:p>
    <w:p>
      <w:pPr>
        <w:pStyle w:val="Compact"/>
        <w:numPr>
          <w:ilvl w:val="0"/>
          <w:numId w:val="1002"/>
        </w:numPr>
      </w:pPr>
      <w:r>
        <w:rPr>
          <w:b/>
          <w:bCs/>
        </w:rPr>
        <w:t xml:space="preserve">TurboQuant Module:</w:t>
      </w:r>
      <w:r>
        <w:t xml:space="preserve"> </w:t>
      </w:r>
      <w:r>
        <w:t xml:space="preserve">Develop a reusable library module (in Python/C++) implementing TurboQuant’s logic: (a) random rotation (can use a fixed random orthogonal matrix, stored as constant or generated on the fly with a fixed seed), (b) scalar quantization (Lloyd–Max codebook lookup), (c) QJL residual sketch. Open-source reference implementations (e.g.</w:t>
      </w:r>
      <w:r>
        <w:t xml:space="preserve"> </w:t>
      </w:r>
      <w:hyperlink r:id="rId39">
        <w:r>
          <w:rPr>
            <w:rStyle w:val="Hyperlink"/>
          </w:rPr>
          <w:t xml:space="preserve">0xSero’s TurboQuant GitHub</w:t>
        </w:r>
      </w:hyperlink>
      <w:r>
        <w:t xml:space="preserve">) can guide this, but we may need to adapt for our models. Use PyTorch or NumPy for ease of integration.</w:t>
      </w:r>
    </w:p>
    <w:p>
      <w:pPr>
        <w:pStyle w:val="Compact"/>
        <w:numPr>
          <w:ilvl w:val="0"/>
          <w:numId w:val="1002"/>
        </w:numPr>
      </w:pPr>
      <w:r>
        <w:rPr>
          <w:b/>
          <w:bCs/>
        </w:rPr>
        <w:t xml:space="preserve">Model Wrappers:</w:t>
      </w:r>
      <w:r>
        <w:t xml:space="preserve"> </w:t>
      </w:r>
      <w:r>
        <w:t xml:space="preserve">Modify the FPPE model code to call the quantizer at appropriate points. For a Transformer, intercept the KV cache update: instead of storing float keys/values, store quantized indices and sign bits. Ensure that at decode time, we feed the quantized data into attention routines (possibly with custom kernel if needed). For vector search, replace full vectors in the index with quantized versions (or modify the search distance function to decode on the fly).</w:t>
      </w:r>
    </w:p>
    <w:p>
      <w:pPr>
        <w:pStyle w:val="Compact"/>
        <w:numPr>
          <w:ilvl w:val="0"/>
          <w:numId w:val="1002"/>
        </w:numPr>
      </w:pPr>
      <w:r>
        <w:rPr>
          <w:b/>
          <w:bCs/>
        </w:rPr>
        <w:t xml:space="preserve">Data Pipeline:</w:t>
      </w:r>
      <w:r>
        <w:t xml:space="preserve"> </w:t>
      </w:r>
      <w:r>
        <w:t xml:space="preserve">No extra training data is needed. But we must generate and store: (i) random rotation matrices</w:t>
      </w:r>
      <w:r>
        <w:t xml:space="preserve"> </w:t>
      </w:r>
      <m:oMath>
        <m:r>
          <m:t>R</m:t>
        </m:r>
      </m:oMath>
      <w:r>
        <w:t xml:space="preserve"> </w:t>
      </w:r>
      <w:r>
        <w:t xml:space="preserve">for each quantization dimension (or one fixed for all), (ii) Lloyd–Max codebooks (one per bit-width and dimension), (iii) random Gaussian matrix for QJL, (iv) mapping of sign bits. These can be precomputed offline (small cost) and loaded at runtime.</w:t>
      </w:r>
    </w:p>
    <w:p>
      <w:pPr>
        <w:numPr>
          <w:ilvl w:val="0"/>
          <w:numId w:val="1002"/>
        </w:numPr>
      </w:pPr>
      <w:r>
        <w:rPr>
          <w:b/>
          <w:bCs/>
        </w:rPr>
        <w:t xml:space="preserve">Testing:</w:t>
      </w:r>
      <w:r>
        <w:t xml:space="preserve"> </w:t>
      </w:r>
      <w:r>
        <w:t xml:space="preserve">Start by unit-testing TurboQuant on synthetic vectors (verify zero-mean bias, distortion matches paper’s claims). Then run end-to-end inference tests on saved FPPE checkpoints: compare baseline vs quantized outputs on a small validation set.</w:t>
      </w:r>
    </w:p>
    <w:p>
      <w:pPr>
        <w:numPr>
          <w:ilvl w:val="0"/>
          <w:numId w:val="1002"/>
        </w:numPr>
      </w:pPr>
      <w:r>
        <w:rPr>
          <w:b/>
          <w:bCs/>
        </w:rPr>
        <w:t xml:space="preserve">Required Changes:</w:t>
      </w:r>
    </w:p>
    <w:p>
      <w:pPr>
        <w:pStyle w:val="Compact"/>
        <w:numPr>
          <w:ilvl w:val="0"/>
          <w:numId w:val="1002"/>
        </w:numPr>
      </w:pPr>
      <w:r>
        <w:rPr>
          <w:b/>
          <w:bCs/>
        </w:rPr>
        <w:t xml:space="preserve">Code:</w:t>
      </w:r>
      <w:r>
        <w:t xml:space="preserve"> </w:t>
      </w:r>
      <w:r>
        <w:t xml:space="preserve">Insert hooks into inference code (Pytorch forward pass) to quantize intermediate tensors. Implement dequant/decode in the forward computation of attention or output layers. Possibly use a custom CUDA/Triton kernel for fused attention if QJL stage is used (as in [33] legend) to maximize benefit. At minimum, we must allow attention to consume quantized keys.</w:t>
      </w:r>
    </w:p>
    <w:p>
      <w:pPr>
        <w:pStyle w:val="Compact"/>
        <w:numPr>
          <w:ilvl w:val="0"/>
          <w:numId w:val="1002"/>
        </w:numPr>
      </w:pPr>
      <w:r>
        <w:rPr>
          <w:b/>
          <w:bCs/>
        </w:rPr>
        <w:t xml:space="preserve">Data:</w:t>
      </w:r>
      <w:r>
        <w:t xml:space="preserve"> </w:t>
      </w:r>
      <w:r>
        <w:t xml:space="preserve">If models are stateless at inference, no retraining is needed. Keep original FP32/FP16 weights unchanged. The only new “data” is the quantization parameters (codes, rotations). For reproducibility, version-control these. No sensitive data is added.</w:t>
      </w:r>
    </w:p>
    <w:p>
      <w:pPr>
        <w:numPr>
          <w:ilvl w:val="0"/>
          <w:numId w:val="1002"/>
        </w:numPr>
      </w:pPr>
      <w:r>
        <w:rPr>
          <w:b/>
          <w:bCs/>
        </w:rPr>
        <w:t xml:space="preserve">Infrastructure:</w:t>
      </w:r>
      <w:r>
        <w:t xml:space="preserve"> </w:t>
      </w:r>
      <w:r>
        <w:t xml:space="preserve">Ensure GPU/TPU can handle bit operations. We may rely on GPU bitwise instructions (e.g. for sign). If using Triton, install required tools. Possibly require updating libraries for custom kernels.</w:t>
      </w:r>
    </w:p>
    <w:p>
      <w:pPr>
        <w:numPr>
          <w:ilvl w:val="0"/>
          <w:numId w:val="1002"/>
        </w:numPr>
      </w:pPr>
      <w:r>
        <w:rPr>
          <w:b/>
          <w:bCs/>
        </w:rPr>
        <w:t xml:space="preserve">Expected Benefits:</w:t>
      </w:r>
    </w:p>
    <w:p>
      <w:pPr>
        <w:pStyle w:val="Compact"/>
        <w:numPr>
          <w:ilvl w:val="0"/>
          <w:numId w:val="1002"/>
        </w:numPr>
      </w:pPr>
      <w:r>
        <w:rPr>
          <w:b/>
          <w:bCs/>
        </w:rPr>
        <w:t xml:space="preserve">Memory &amp; Context:</w:t>
      </w:r>
      <w:r>
        <w:t xml:space="preserve"> </w:t>
      </w:r>
      <w:r>
        <w:t xml:space="preserve">Dramatically smaller KV caches and vector indices (3–4× compression). This allows either (a) longer historical context for Transformers (more days of price history stored without OOM), or (b) larger batch sizes/concurrency, (c) storing more data in RAM for fast retrieval.</w:t>
      </w:r>
    </w:p>
    <w:p>
      <w:pPr>
        <w:pStyle w:val="Compact"/>
        <w:numPr>
          <w:ilvl w:val="0"/>
          <w:numId w:val="1002"/>
        </w:numPr>
      </w:pPr>
      <w:r>
        <w:rPr>
          <w:b/>
          <w:bCs/>
        </w:rPr>
        <w:t xml:space="preserve">Speed:</w:t>
      </w:r>
      <w:r>
        <w:t xml:space="preserve"> </w:t>
      </w:r>
      <w:r>
        <w:t xml:space="preserve">Faster attention computation (higher token throughput) due to reduced memory transfers</w:t>
      </w:r>
      <w:hyperlink r:id="rId35">
        <w:r>
          <w:rPr>
            <w:rStyle w:val="Hyperlink"/>
          </w:rPr>
          <w:t xml:space="preserve">[14]</w:t>
        </w:r>
      </w:hyperlink>
      <w:hyperlink r:id="rId40">
        <w:r>
          <w:rPr>
            <w:rStyle w:val="Hyperlink"/>
          </w:rPr>
          <w:t xml:space="preserve">[16]</w:t>
        </w:r>
      </w:hyperlink>
      <w:r>
        <w:t xml:space="preserve">. Nearest-neighbor search (HNSW) speed may improve (less data to scan) and index-building time drops (TurboQuant</w:t>
      </w:r>
      <w:r>
        <w:t xml:space="preserve"> </w:t>
      </w:r>
      <w:r>
        <w:rPr>
          <w:i/>
          <w:iCs/>
        </w:rPr>
        <w:t xml:space="preserve">virtually zero</w:t>
      </w:r>
      <w:r>
        <w:t xml:space="preserve"> </w:t>
      </w:r>
      <w:r>
        <w:t xml:space="preserve">indexing overhead</w:t>
      </w:r>
      <w:hyperlink r:id="rId32">
        <w:r>
          <w:rPr>
            <w:rStyle w:val="Hyperlink"/>
          </w:rPr>
          <w:t xml:space="preserve">[12]</w:t>
        </w:r>
      </w:hyperlink>
      <w:r>
        <w:t xml:space="preserve">).</w:t>
      </w:r>
    </w:p>
    <w:p>
      <w:pPr>
        <w:numPr>
          <w:ilvl w:val="0"/>
          <w:numId w:val="1002"/>
        </w:numPr>
      </w:pPr>
      <w:r>
        <w:rPr>
          <w:b/>
          <w:bCs/>
        </w:rPr>
        <w:t xml:space="preserve">Accuracy:</w:t>
      </w:r>
      <w:r>
        <w:t xml:space="preserve"> </w:t>
      </w:r>
      <w:r>
        <w:t xml:space="preserve">Maintained (paper shows</w:t>
      </w:r>
      <w:r>
        <w:t xml:space="preserve"> </w:t>
      </w:r>
      <w:r>
        <w:rPr>
          <w:i/>
          <w:iCs/>
        </w:rPr>
        <w:t xml:space="preserve">no drop</w:t>
      </w:r>
      <w:r>
        <w:t xml:space="preserve"> </w:t>
      </w:r>
      <w:r>
        <w:t xml:space="preserve">in accuracy/recall for recommended bit settings</w:t>
      </w:r>
      <w:hyperlink r:id="rId24">
        <w:r>
          <w:rPr>
            <w:rStyle w:val="Hyperlink"/>
          </w:rPr>
          <w:t xml:space="preserve">[4]</w:t>
        </w:r>
      </w:hyperlink>
      <w:hyperlink r:id="rId31">
        <w:r>
          <w:rPr>
            <w:rStyle w:val="Hyperlink"/>
          </w:rPr>
          <w:t xml:space="preserve">[11]</w:t>
        </w:r>
      </w:hyperlink>
      <w:r>
        <w:t xml:space="preserve">). FPPE targets (classification accuracy, regression error) should remain unchanged within statistical error. Calibration and Brier metrics should not worsen significantly.</w:t>
      </w:r>
    </w:p>
    <w:p>
      <w:pPr>
        <w:numPr>
          <w:ilvl w:val="0"/>
          <w:numId w:val="1002"/>
        </w:numPr>
      </w:pPr>
      <w:r>
        <w:rPr>
          <w:b/>
          <w:bCs/>
        </w:rPr>
        <w:t xml:space="preserve">Potential Risks and Mitigations:</w:t>
      </w:r>
    </w:p>
    <w:p>
      <w:pPr>
        <w:pStyle w:val="Compact"/>
        <w:numPr>
          <w:ilvl w:val="0"/>
          <w:numId w:val="1002"/>
        </w:numPr>
      </w:pPr>
      <w:r>
        <w:rPr>
          <w:b/>
          <w:bCs/>
        </w:rPr>
        <w:t xml:space="preserve">Accuracy Drop:</w:t>
      </w:r>
      <w:r>
        <w:t xml:space="preserve"> </w:t>
      </w:r>
      <w:r>
        <w:t xml:space="preserve">If quantization bit-width is too low, model outputs could shift.</w:t>
      </w:r>
      <w:r>
        <w:t xml:space="preserve"> </w:t>
      </w:r>
      <w:r>
        <w:rPr>
          <w:i/>
          <w:iCs/>
        </w:rPr>
        <w:t xml:space="preserve">Mitigation:</w:t>
      </w:r>
      <w:r>
        <w:t xml:space="preserve"> </w:t>
      </w:r>
      <w:r>
        <w:t xml:space="preserve">Start with a conservative bitwidth (e.g. 4–6 bits) and gradually reduce. Use calibration checks (Brier score, probability calibration tests) to monitor drift. Provide a fallback to full precision if thresholds exceeded.</w:t>
      </w:r>
    </w:p>
    <w:p>
      <w:pPr>
        <w:pStyle w:val="Compact"/>
        <w:numPr>
          <w:ilvl w:val="0"/>
          <w:numId w:val="1002"/>
        </w:numPr>
      </w:pPr>
      <w:r>
        <w:rPr>
          <w:b/>
          <w:bCs/>
        </w:rPr>
        <w:t xml:space="preserve">Integration Bugs:</w:t>
      </w:r>
      <w:r>
        <w:t xml:space="preserve"> </w:t>
      </w:r>
      <w:r>
        <w:t xml:space="preserve">Custom kernels or quant logic may introduce errors.</w:t>
      </w:r>
      <w:r>
        <w:t xml:space="preserve"> </w:t>
      </w:r>
      <w:r>
        <w:rPr>
          <w:i/>
          <w:iCs/>
        </w:rPr>
        <w:t xml:space="preserve">Mitigation:</w:t>
      </w:r>
      <w:r>
        <w:t xml:space="preserve"> </w:t>
      </w:r>
      <w:r>
        <w:t xml:space="preserve">Rigorously unit-test each component. Use known identity (e.g. orthogonality of rotation) to verify no numeric loss. Compare attention scores elementwise with/without quant.</w:t>
      </w:r>
    </w:p>
    <w:p>
      <w:pPr>
        <w:pStyle w:val="Compact"/>
        <w:numPr>
          <w:ilvl w:val="0"/>
          <w:numId w:val="1002"/>
        </w:numPr>
      </w:pPr>
      <w:r>
        <w:rPr>
          <w:b/>
          <w:bCs/>
        </w:rPr>
        <w:t xml:space="preserve">Performance Overhead:</w:t>
      </w:r>
      <w:r>
        <w:t xml:space="preserve"> </w:t>
      </w:r>
      <w:r>
        <w:t xml:space="preserve">Extra compute for rotation/QJL may slow small models.</w:t>
      </w:r>
      <w:r>
        <w:t xml:space="preserve"> </w:t>
      </w:r>
      <w:r>
        <w:rPr>
          <w:i/>
          <w:iCs/>
        </w:rPr>
        <w:t xml:space="preserve">Mitigation:</w:t>
      </w:r>
      <w:r>
        <w:t xml:space="preserve"> </w:t>
      </w:r>
      <w:r>
        <w:t xml:space="preserve">Optimize with batch matrix ops or Triton. Profile to ensure memory savings outweigh compute. For small MLPs, possibly skip TurboQuant if not beneficial.</w:t>
      </w:r>
    </w:p>
    <w:p>
      <w:pPr>
        <w:pStyle w:val="Compact"/>
        <w:numPr>
          <w:ilvl w:val="0"/>
          <w:numId w:val="1002"/>
        </w:numPr>
      </w:pPr>
      <w:r>
        <w:rPr>
          <w:b/>
          <w:bCs/>
        </w:rPr>
        <w:t xml:space="preserve">Regulatory/Logging:</w:t>
      </w:r>
      <w:r>
        <w:t xml:space="preserve"> </w:t>
      </w:r>
      <w:r>
        <w:t xml:space="preserve">Changing model internals might complicate audit.</w:t>
      </w:r>
      <w:r>
        <w:t xml:space="preserve"> </w:t>
      </w:r>
      <w:r>
        <w:rPr>
          <w:i/>
          <w:iCs/>
        </w:rPr>
        <w:t xml:space="preserve">Mitigation:</w:t>
      </w:r>
      <w:r>
        <w:t xml:space="preserve"> </w:t>
      </w:r>
      <w:r>
        <w:t xml:space="preserve">Document the quantization processes, fix random seeds, log differences in outputs. Keep a full-precision model as reference for compliance comparisons.</w:t>
      </w:r>
    </w:p>
    <w:bookmarkEnd w:id="41"/>
    <w:bookmarkStart w:id="42" w:name="experimental-plan"/>
    <w:p>
      <w:pPr>
        <w:pStyle w:val="Heading2"/>
      </w:pPr>
      <w:r>
        <w:t xml:space="preserve">Experimental Plan</w:t>
      </w:r>
    </w:p>
    <w:p>
      <w:pPr>
        <w:pStyle w:val="FirstParagraph"/>
      </w:pPr>
      <w:r>
        <w:t xml:space="preserve">We propose the following</w:t>
      </w:r>
      <w:r>
        <w:t xml:space="preserve"> </w:t>
      </w:r>
      <w:r>
        <w:rPr>
          <w:b/>
          <w:bCs/>
        </w:rPr>
        <w:t xml:space="preserve">prioritized experiments</w:t>
      </w:r>
      <w:r>
        <w:t xml:space="preserve"> </w:t>
      </w:r>
      <w:r>
        <w:t xml:space="preserve">to evaluate TurboQuant in FPPE context. Each experiment compares a</w:t>
      </w:r>
      <w:r>
        <w:t xml:space="preserve"> </w:t>
      </w:r>
      <w:r>
        <w:rPr>
          <w:i/>
          <w:iCs/>
        </w:rPr>
        <w:t xml:space="preserve">baseline</w:t>
      </w:r>
      <w:r>
        <w:t xml:space="preserve"> </w:t>
      </w:r>
      <w:r>
        <w:t xml:space="preserve">(full-precision) model against one or more quantized versions (TurboQuant, QJL-only, traditional quant).</w:t>
      </w:r>
    </w:p>
    <w:p>
      <w:pPr>
        <w:pStyle w:val="Compact"/>
        <w:numPr>
          <w:ilvl w:val="0"/>
          <w:numId w:val="1003"/>
        </w:numPr>
      </w:pPr>
      <w:r>
        <w:rPr>
          <w:b/>
          <w:bCs/>
        </w:rPr>
        <w:t xml:space="preserve">Vector Search Task (HNSW Recall):</w:t>
      </w:r>
    </w:p>
    <w:p>
      <w:pPr>
        <w:pStyle w:val="Compact"/>
        <w:numPr>
          <w:ilvl w:val="0"/>
          <w:numId w:val="1003"/>
        </w:numPr>
      </w:pPr>
      <w:r>
        <w:rPr>
          <w:b/>
          <w:bCs/>
        </w:rPr>
        <w:t xml:space="preserve">Design:</w:t>
      </w:r>
      <w:r>
        <w:t xml:space="preserve"> </w:t>
      </w:r>
      <w:r>
        <w:t xml:space="preserve">Create a test database of financial pattern vectors (e.g. embed 10,000 financial time-series segments or document snippets). Use HNSW index to perform nearest-neighbor search. Compare (a) baseline (float32 vectors), (b) TurboQuant-compressed vectors.</w:t>
      </w:r>
    </w:p>
    <w:p>
      <w:pPr>
        <w:pStyle w:val="Compact"/>
        <w:numPr>
          <w:ilvl w:val="0"/>
          <w:numId w:val="1003"/>
        </w:numPr>
      </w:pPr>
      <w:r>
        <w:rPr>
          <w:b/>
          <w:bCs/>
        </w:rPr>
        <w:t xml:space="preserve">Dataset:</w:t>
      </w:r>
      <w:r>
        <w:t xml:space="preserve"> </w:t>
      </w:r>
      <w:r>
        <w:t xml:space="preserve">For example, use the FRED macroeconomic time series or daily stock price windows (public via Quandl/Yahoo) and embed them (e.g. via PCA or a small autoencoder). Alternatively, use FIN-text embeddings (e.g. StockTwits or earnings call transcripts) with an open embedding model.</w:t>
      </w:r>
    </w:p>
    <w:p>
      <w:pPr>
        <w:pStyle w:val="Compact"/>
        <w:numPr>
          <w:ilvl w:val="0"/>
          <w:numId w:val="1003"/>
        </w:numPr>
      </w:pPr>
      <w:r>
        <w:rPr>
          <w:b/>
          <w:bCs/>
        </w:rPr>
        <w:t xml:space="preserve">Metrics:</w:t>
      </w:r>
      <w:r>
        <w:t xml:space="preserve"> </w:t>
      </w:r>
      <w:r>
        <w:t xml:space="preserve">Measure</w:t>
      </w:r>
      <w:r>
        <w:t xml:space="preserve"> </w:t>
      </w:r>
      <w:r>
        <w:rPr>
          <w:b/>
          <w:bCs/>
        </w:rPr>
        <w:t xml:space="preserve">Recall@K</w:t>
      </w:r>
      <w:r>
        <w:t xml:space="preserve"> </w:t>
      </w:r>
      <w:r>
        <w:t xml:space="preserve">(fraction of top-K neighbors matching baseline) and</w:t>
      </w:r>
      <w:r>
        <w:t xml:space="preserve"> </w:t>
      </w:r>
      <w:r>
        <w:rPr>
          <w:b/>
          <w:bCs/>
        </w:rPr>
        <w:t xml:space="preserve">index time</w:t>
      </w:r>
      <w:r>
        <w:t xml:space="preserve">. Success: TurboQuant recall ≥99.9% of baseline (matching FPPE’s ≥0.9999) with &gt;3× memory reduction. Use paired t-tests on distances or a sign test on recall differences.</w:t>
      </w:r>
    </w:p>
    <w:p>
      <w:pPr>
        <w:numPr>
          <w:ilvl w:val="0"/>
          <w:numId w:val="1003"/>
        </w:numPr>
      </w:pPr>
      <w:r>
        <w:rPr>
          <w:b/>
          <w:bCs/>
        </w:rPr>
        <w:t xml:space="preserve">Stats:</w:t>
      </w:r>
      <w:r>
        <w:t xml:space="preserve"> </w:t>
      </w:r>
      <w:r>
        <w:t xml:space="preserve">Compute mean recall difference and 95% CI. Perform a McNemar’s test on whether any neighbors differ (should be non-significant).</w:t>
      </w:r>
    </w:p>
    <w:p>
      <w:pPr>
        <w:numPr>
          <w:ilvl w:val="0"/>
          <w:numId w:val="1003"/>
        </w:numPr>
      </w:pPr>
      <w:r>
        <w:rPr>
          <w:b/>
          <w:bCs/>
        </w:rPr>
        <w:t xml:space="preserve">Transformer KV Cache Compression:</w:t>
      </w:r>
    </w:p>
    <w:p>
      <w:pPr>
        <w:pStyle w:val="Compact"/>
        <w:numPr>
          <w:ilvl w:val="0"/>
          <w:numId w:val="1003"/>
        </w:numPr>
      </w:pPr>
      <w:r>
        <w:rPr>
          <w:b/>
          <w:bCs/>
        </w:rPr>
        <w:t xml:space="preserve">Design:</w:t>
      </w:r>
      <w:r>
        <w:t xml:space="preserve"> </w:t>
      </w:r>
      <w:r>
        <w:t xml:space="preserve">Take a pretrained FPPE Transformer (or a large open LLM for proof-of-concept) and feed in financial prompts (e.g. sequences of historical prices or financial news). Run inference with long context (e.g. 10k tokens). Compare baseline vs TurboQuant on: (a)</w:t>
      </w:r>
      <w:r>
        <w:t xml:space="preserve"> </w:t>
      </w:r>
      <w:r>
        <w:rPr>
          <w:b/>
          <w:bCs/>
        </w:rPr>
        <w:t xml:space="preserve">prediction accuracy</w:t>
      </w:r>
      <w:r>
        <w:t xml:space="preserve"> </w:t>
      </w:r>
      <w:r>
        <w:t xml:space="preserve">(if ground-truth tokens exist), (b)</w:t>
      </w:r>
      <w:r>
        <w:t xml:space="preserve"> </w:t>
      </w:r>
      <w:r>
        <w:rPr>
          <w:b/>
          <w:bCs/>
        </w:rPr>
        <w:t xml:space="preserve">attention logit statistics</w:t>
      </w:r>
      <w:r>
        <w:t xml:space="preserve">, and (c)</w:t>
      </w:r>
      <w:r>
        <w:t xml:space="preserve"> </w:t>
      </w:r>
      <w:r>
        <w:rPr>
          <w:b/>
          <w:bCs/>
        </w:rPr>
        <w:t xml:space="preserve">resource usage</w:t>
      </w:r>
      <w:r>
        <w:t xml:space="preserve"> </w:t>
      </w:r>
      <w:r>
        <w:t xml:space="preserve">(peak memory, latency).</w:t>
      </w:r>
    </w:p>
    <w:p>
      <w:pPr>
        <w:pStyle w:val="Compact"/>
        <w:numPr>
          <w:ilvl w:val="0"/>
          <w:numId w:val="1003"/>
        </w:numPr>
      </w:pPr>
      <w:r>
        <w:rPr>
          <w:b/>
          <w:bCs/>
        </w:rPr>
        <w:t xml:space="preserve">Dataset:</w:t>
      </w:r>
      <w:r>
        <w:t xml:space="preserve"> </w:t>
      </w:r>
      <w:r>
        <w:t xml:space="preserve">Public long-text financial data (e.g. scraped annual reports, EDGAR filings). Or synthetic “needle-in-haystack”: embed a known pattern and test retrieval from history.</w:t>
      </w:r>
    </w:p>
    <w:p>
      <w:pPr>
        <w:numPr>
          <w:ilvl w:val="0"/>
          <w:numId w:val="1003"/>
        </w:numPr>
      </w:pPr>
      <w:r>
        <w:rPr>
          <w:b/>
          <w:bCs/>
        </w:rPr>
        <w:t xml:space="preserve">Metrics:</w:t>
      </w:r>
      <w:r>
        <w:t xml:space="preserve"> </w:t>
      </w:r>
      <w:r>
        <w:t xml:space="preserve">For generative tasks, compare perplexity or token accuracy. For retrieval tasks, use recall as above. Also measure</w:t>
      </w:r>
      <w:r>
        <w:t xml:space="preserve"> </w:t>
      </w:r>
      <w:r>
        <w:rPr>
          <w:i/>
          <w:iCs/>
        </w:rPr>
        <w:t xml:space="preserve">Peak VRAM</w:t>
      </w:r>
      <w:r>
        <w:t xml:space="preserve"> </w:t>
      </w:r>
      <w:r>
        <w:t xml:space="preserve">and</w:t>
      </w:r>
      <w:r>
        <w:t xml:space="preserve"> </w:t>
      </w:r>
      <w:r>
        <w:rPr>
          <w:i/>
          <w:iCs/>
        </w:rPr>
        <w:t xml:space="preserve">tokens/sec</w:t>
      </w:r>
      <w:r>
        <w:t xml:space="preserve">. Success: no statistical difference in output quality (e.g. perplexity difference &lt;0.1% with p&gt;0.05), and ~&gt;3–6× KV memory savings. Use a paired t-test on cross-entropy or A/B test with significance.</w:t>
      </w:r>
    </w:p>
    <w:p>
      <w:pPr>
        <w:numPr>
          <w:ilvl w:val="0"/>
          <w:numId w:val="1003"/>
        </w:numPr>
      </w:pPr>
      <w:r>
        <w:rPr>
          <w:b/>
          <w:bCs/>
        </w:rPr>
        <w:t xml:space="preserve">MLP Inference with Weight/Activation Quantization:</w:t>
      </w:r>
    </w:p>
    <w:p>
      <w:pPr>
        <w:pStyle w:val="Compact"/>
        <w:numPr>
          <w:ilvl w:val="0"/>
          <w:numId w:val="1003"/>
        </w:numPr>
      </w:pPr>
      <w:r>
        <w:rPr>
          <w:b/>
          <w:bCs/>
        </w:rPr>
        <w:t xml:space="preserve">Design:</w:t>
      </w:r>
      <w:r>
        <w:t xml:space="preserve"> </w:t>
      </w:r>
      <w:r>
        <w:t xml:space="preserve">Evaluate an FPPE MLP regression/classification model (e.g. for trend prediction). Compare baseline vs weight-quantized vs TurboQuant quantized. If possible, implement TurboQuant-like scheme (rotate weights or activations).</w:t>
      </w:r>
    </w:p>
    <w:p>
      <w:pPr>
        <w:pStyle w:val="Compact"/>
        <w:numPr>
          <w:ilvl w:val="0"/>
          <w:numId w:val="1003"/>
        </w:numPr>
      </w:pPr>
      <w:r>
        <w:rPr>
          <w:b/>
          <w:bCs/>
        </w:rPr>
        <w:t xml:space="preserve">Dataset:</w:t>
      </w:r>
      <w:r>
        <w:t xml:space="preserve"> </w:t>
      </w:r>
      <w:r>
        <w:t xml:space="preserve">Standard financial regression dataset, e.g. Kaggle “House Price Index” (non-price signals), or a credit risk dataset (UCI or Kaggle).</w:t>
      </w:r>
    </w:p>
    <w:p>
      <w:pPr>
        <w:numPr>
          <w:ilvl w:val="0"/>
          <w:numId w:val="1003"/>
        </w:numPr>
      </w:pPr>
      <w:r>
        <w:rPr>
          <w:b/>
          <w:bCs/>
        </w:rPr>
        <w:t xml:space="preserve">Metrics:</w:t>
      </w:r>
      <w:r>
        <w:t xml:space="preserve"> </w:t>
      </w:r>
      <w:r>
        <w:t xml:space="preserve">Root Mean Squared Error (regression) or accuracy/F1 (classification). Also</w:t>
      </w:r>
      <w:r>
        <w:t xml:space="preserve"> </w:t>
      </w:r>
      <w:r>
        <w:rPr>
          <w:b/>
          <w:bCs/>
        </w:rPr>
        <w:t xml:space="preserve">Brier Score</w:t>
      </w:r>
      <w:r>
        <w:t xml:space="preserve"> </w:t>
      </w:r>
      <w:r>
        <w:t xml:space="preserve">for probability calibration. Success: Quantized model error within 95% CI of baseline. Use paired-sample t-test.</w:t>
      </w:r>
    </w:p>
    <w:p>
      <w:pPr>
        <w:numPr>
          <w:ilvl w:val="0"/>
          <w:numId w:val="1003"/>
        </w:numPr>
      </w:pPr>
      <w:r>
        <w:rPr>
          <w:b/>
          <w:bCs/>
        </w:rPr>
        <w:t xml:space="preserve">Combined End-to-End Deployment Test:</w:t>
      </w:r>
    </w:p>
    <w:p>
      <w:pPr>
        <w:pStyle w:val="Compact"/>
        <w:numPr>
          <w:ilvl w:val="0"/>
          <w:numId w:val="1003"/>
        </w:numPr>
      </w:pPr>
      <w:r>
        <w:rPr>
          <w:b/>
          <w:bCs/>
        </w:rPr>
        <w:t xml:space="preserve">Design:</w:t>
      </w:r>
      <w:r>
        <w:t xml:space="preserve"> </w:t>
      </w:r>
      <w:r>
        <w:t xml:space="preserve">Integrate TurboQuant into the full FPPE pipeline (as it would be used in production). Run a backtest or paper-trading simulation to compare trading performance (profit, Sharpe, drawdown) baseline vs quantized.</w:t>
      </w:r>
    </w:p>
    <w:p>
      <w:pPr>
        <w:pStyle w:val="Compact"/>
        <w:numPr>
          <w:ilvl w:val="0"/>
          <w:numId w:val="1003"/>
        </w:numPr>
      </w:pPr>
      <w:r>
        <w:rPr>
          <w:b/>
          <w:bCs/>
        </w:rPr>
        <w:t xml:space="preserve">Dataset:</w:t>
      </w:r>
      <w:r>
        <w:t xml:space="preserve"> </w:t>
      </w:r>
      <w:r>
        <w:t xml:space="preserve">Historical market data (publicly available e.g. S&amp;P 500 data, or Forex rates) over several months.</w:t>
      </w:r>
    </w:p>
    <w:p>
      <w:pPr>
        <w:pStyle w:val="Compact"/>
        <w:numPr>
          <w:ilvl w:val="0"/>
          <w:numId w:val="1003"/>
        </w:numPr>
      </w:pPr>
      <w:r>
        <w:rPr>
          <w:b/>
          <w:bCs/>
        </w:rPr>
        <w:t xml:space="preserve">Metrics:</w:t>
      </w:r>
      <w:r>
        <w:t xml:space="preserve"> </w:t>
      </w:r>
      <w:r>
        <w:t xml:space="preserve">Trading P/L, Sharpe ratio, max drawdown. Success: Quantized system performance not statistically worse (use bootstrap or permutation tests on returns).</w:t>
      </w:r>
    </w:p>
    <w:p>
      <w:pPr>
        <w:pStyle w:val="FirstParagraph"/>
      </w:pPr>
      <w:r>
        <w:t xml:space="preserve">Each experiment should include</w:t>
      </w:r>
      <w:r>
        <w:t xml:space="preserve"> </w:t>
      </w:r>
      <w:r>
        <w:rPr>
          <w:b/>
          <w:bCs/>
        </w:rPr>
        <w:t xml:space="preserve">statistical tests</w:t>
      </w:r>
      <w:r>
        <w:t xml:space="preserve">: e.g. two-sided paired t-tests for continuous metrics (error, logit differences), McNemar’s or Wilcoxon for classification changes, and appropriate nonparametric tests if distributions are unknown. We recommend 95% confidence (p&lt;0.05) as threshold. Experiments should be repeated with different random seeds (for quantization randomness) to ensure stability.</w:t>
      </w:r>
    </w:p>
    <w:bookmarkEnd w:id="42"/>
    <w:bookmarkStart w:id="43" w:name="X505d325b0883eb50134e198286345cc6eff25f8"/>
    <w:p>
      <w:pPr>
        <w:pStyle w:val="Heading2"/>
      </w:pPr>
      <w:r>
        <w:t xml:space="preserve">Comparison Table: TurboQuant vs Alternatives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Method</w:t>
            </w:r>
          </w:p>
        </w:tc>
        <w:tc>
          <w:tcPr/>
          <w:p>
            <w:pPr>
              <w:pStyle w:val="Compact"/>
            </w:pPr>
            <w:r>
              <w:t xml:space="preserve">Bits per Dim (KV)</w:t>
            </w:r>
          </w:p>
        </w:tc>
        <w:tc>
          <w:tcPr/>
          <w:p>
            <w:pPr>
              <w:pStyle w:val="Compact"/>
            </w:pPr>
            <w:r>
              <w:t xml:space="preserve">Memory Overhead</w:t>
            </w:r>
          </w:p>
        </w:tc>
        <w:tc>
          <w:tcPr/>
          <w:p>
            <w:pPr>
              <w:pStyle w:val="Compact"/>
            </w:pPr>
            <w:r>
              <w:t xml:space="preserve">Accuracy Impact</w:t>
            </w:r>
          </w:p>
        </w:tc>
        <w:tc>
          <w:tcPr/>
          <w:p>
            <w:pPr>
              <w:pStyle w:val="Compact"/>
            </w:pPr>
            <w:r>
              <w:t xml:space="preserve">Typical Use-case</w:t>
            </w:r>
          </w:p>
        </w:tc>
        <w:tc>
          <w:tcPr/>
          <w:p>
            <w:pPr>
              <w:pStyle w:val="Compact"/>
            </w:pPr>
            <w:r>
              <w:t xml:space="preserve">Notes</w:t>
            </w:r>
          </w:p>
        </w:tc>
      </w:tr>
      <w:tr>
        <w:tc>
          <w:tcPr/>
          <w:p>
            <w:pPr>
              <w:pStyle w:val="Compact"/>
            </w:pPr>
            <w:r>
              <w:rPr>
                <w:b/>
                <w:bCs/>
              </w:rPr>
              <w:t xml:space="preserve">Full Precision (FP32)</w:t>
            </w:r>
          </w:p>
        </w:tc>
        <w:tc>
          <w:tcPr/>
          <w:p>
            <w:pPr>
              <w:pStyle w:val="Compact"/>
            </w:pPr>
            <w:r>
              <w:t xml:space="preserve">32</w:t>
            </w:r>
          </w:p>
        </w:tc>
        <w:tc>
          <w:tcPr/>
          <w:p>
            <w:pPr>
              <w:pStyle w:val="Compact"/>
            </w:pPr>
            <w:r>
              <w:t xml:space="preserve">0×</w:t>
            </w:r>
          </w:p>
        </w:tc>
        <w:tc>
          <w:tcPr/>
          <w:p>
            <w:pPr>
              <w:pStyle w:val="Compact"/>
            </w:pPr>
            <w:r>
              <w:t xml:space="preserve">N/A (reference)</w:t>
            </w:r>
          </w:p>
        </w:tc>
        <w:tc>
          <w:tcPr/>
          <w:p>
            <w:pPr>
              <w:pStyle w:val="Compact"/>
            </w:pPr>
            <w:r>
              <w:t xml:space="preserve">Baseline</w:t>
            </w:r>
          </w:p>
        </w:tc>
        <w:tc>
          <w:tcPr/>
          <w:p>
            <w:pPr>
              <w:pStyle w:val="Compact"/>
            </w:pPr>
            <w:r>
              <w:t xml:space="preserve">No compression</w:t>
            </w:r>
          </w:p>
        </w:tc>
      </w:tr>
      <w:tr>
        <w:tc>
          <w:tcPr/>
          <w:p>
            <w:pPr>
              <w:pStyle w:val="Compact"/>
            </w:pPr>
            <w:r>
              <w:rPr>
                <w:b/>
                <w:bCs/>
              </w:rPr>
              <w:t xml:space="preserve">INT8 Quantization</w:t>
            </w:r>
          </w:p>
        </w:tc>
        <w:tc>
          <w:tcPr/>
          <w:p>
            <w:pPr>
              <w:pStyle w:val="Compact"/>
            </w:pPr>
            <w:r>
              <w:t xml:space="preserve">8</w:t>
            </w:r>
          </w:p>
        </w:tc>
        <w:tc>
          <w:tcPr/>
          <w:p>
            <w:pPr>
              <w:pStyle w:val="Compact"/>
            </w:pPr>
            <w:r>
              <w:t xml:space="preserve">0×</w:t>
            </w:r>
          </w:p>
        </w:tc>
        <w:tc>
          <w:tcPr/>
          <w:p>
            <w:pPr>
              <w:pStyle w:val="Compact"/>
            </w:pPr>
            <w:r>
              <w:t xml:space="preserve">~~≤1–2% drop ~~</w:t>
            </w:r>
          </w:p>
        </w:tc>
        <w:tc>
          <w:tcPr/>
          <w:p>
            <w:pPr>
              <w:pStyle w:val="Compact"/>
            </w:pPr>
            <w:r>
              <w:t xml:space="preserve">General NN inference</w:t>
            </w:r>
          </w:p>
        </w:tc>
        <w:tc>
          <w:tcPr/>
          <w:p>
            <w:pPr>
              <w:pStyle w:val="Compact"/>
            </w:pPr>
            <w:r>
              <w:t xml:space="preserve">Hardware acceleration support, low error</w:t>
            </w:r>
          </w:p>
        </w:tc>
      </w:tr>
      <w:tr>
        <w:tc>
          <w:tcPr/>
          <w:p>
            <w:pPr>
              <w:pStyle w:val="Compact"/>
            </w:pPr>
            <w:r>
              <w:rPr>
                <w:b/>
                <w:bCs/>
              </w:rPr>
              <w:t xml:space="preserve">Product Quantization</w:t>
            </w:r>
          </w:p>
        </w:tc>
        <w:tc>
          <w:tcPr/>
          <w:p>
            <w:pPr>
              <w:pStyle w:val="Compact"/>
            </w:pPr>
            <w:r>
              <w:t xml:space="preserve">3–4 (plus codebook)</w:t>
            </w:r>
          </w:p>
        </w:tc>
        <w:tc>
          <w:tcPr/>
          <w:p>
            <w:pPr>
              <w:pStyle w:val="Compact"/>
            </w:pPr>
            <w:r>
              <w:t xml:space="preserve">+1–2 bits/code</w:t>
            </w:r>
          </w:p>
        </w:tc>
        <w:tc>
          <w:tcPr/>
          <w:p>
            <w:pPr>
              <w:pStyle w:val="Compact"/>
            </w:pPr>
            <w:r>
              <w:t xml:space="preserve">Moderate</w:t>
            </w:r>
          </w:p>
        </w:tc>
        <w:tc>
          <w:tcPr/>
          <w:p>
            <w:pPr>
              <w:pStyle w:val="Compact"/>
            </w:pPr>
            <w:r>
              <w:t xml:space="preserve">ANN search, recall-focused</w:t>
            </w:r>
          </w:p>
        </w:tc>
        <w:tc>
          <w:tcPr/>
          <w:p>
            <w:pPr>
              <w:pStyle w:val="Compact"/>
            </w:pPr>
            <w:r>
              <w:t xml:space="preserve">Needs codebooks (per-block overhead)</w:t>
            </w:r>
          </w:p>
        </w:tc>
      </w:tr>
      <w:tr>
        <w:tc>
          <w:tcPr/>
          <w:p>
            <w:pPr>
              <w:pStyle w:val="Compact"/>
            </w:pPr>
            <w:r>
              <w:rPr>
                <w:b/>
                <w:bCs/>
              </w:rPr>
              <w:t xml:space="preserve">PolarQuant</w:t>
            </w:r>
          </w:p>
        </w:tc>
        <w:tc>
          <w:tcPr/>
          <w:p>
            <w:pPr>
              <w:pStyle w:val="Compact"/>
            </w:pPr>
            <w:r>
              <w:t xml:space="preserve">~6</w:t>
            </w:r>
          </w:p>
        </w:tc>
        <w:tc>
          <w:tcPr/>
          <w:p>
            <w:pPr>
              <w:pStyle w:val="Compact"/>
            </w:pPr>
            <w:r>
              <w:t xml:space="preserve">0×</w:t>
            </w:r>
          </w:p>
        </w:tc>
        <w:tc>
          <w:tcPr/>
          <w:p>
            <w:pPr>
              <w:pStyle w:val="Compact"/>
            </w:pPr>
            <w:r>
              <w:t xml:space="preserve">≈0% (empirical)</w:t>
            </w:r>
          </w:p>
        </w:tc>
        <w:tc>
          <w:tcPr/>
          <w:p>
            <w:pPr>
              <w:pStyle w:val="Compact"/>
            </w:pPr>
            <w:r>
              <w:t xml:space="preserve">Transformer KV caches</w:t>
            </w:r>
          </w:p>
        </w:tc>
        <w:tc>
          <w:tcPr/>
          <w:p>
            <w:pPr>
              <w:pStyle w:val="Compact"/>
            </w:pPr>
            <w:r>
              <w:t xml:space="preserve">&gt;4.2× compression</w:t>
            </w:r>
            <w:hyperlink r:id="rId22">
              <w:r>
                <w:rPr>
                  <w:rStyle w:val="Hyperlink"/>
                </w:rPr>
                <w:t xml:space="preserve">[2]</w:t>
              </w:r>
            </w:hyperlink>
            <w:r>
              <w:t xml:space="preserve">, no extra scales</w:t>
            </w:r>
          </w:p>
        </w:tc>
      </w:tr>
      <w:tr>
        <w:tc>
          <w:tcPr/>
          <w:p>
            <w:pPr>
              <w:pStyle w:val="Compact"/>
            </w:pPr>
            <w:r>
              <w:rPr>
                <w:b/>
                <w:bCs/>
              </w:rPr>
              <w:t xml:space="preserve">QJL (1-bit)</w:t>
            </w:r>
          </w:p>
        </w:tc>
        <w:tc>
          <w:tcPr/>
          <w:p>
            <w:pPr>
              <w:pStyle w:val="Compact"/>
            </w:pPr>
            <w:r>
              <w:t xml:space="preserve">1</w:t>
            </w:r>
          </w:p>
        </w:tc>
        <w:tc>
          <w:tcPr/>
          <w:p>
            <w:pPr>
              <w:pStyle w:val="Compact"/>
            </w:pPr>
            <w:r>
              <w:t xml:space="preserve">0×</w:t>
            </w:r>
          </w:p>
        </w:tc>
        <w:tc>
          <w:tcPr/>
          <w:p>
            <w:pPr>
              <w:pStyle w:val="Compact"/>
            </w:pPr>
            <w:r>
              <w:t xml:space="preserve">Unbiased IP (0)</w:t>
            </w:r>
          </w:p>
        </w:tc>
        <w:tc>
          <w:tcPr/>
          <w:p>
            <w:pPr>
              <w:pStyle w:val="Compact"/>
            </w:pPr>
            <w:r>
              <w:t xml:space="preserve">Residual correction (TurboQuant)</w:t>
            </w:r>
          </w:p>
        </w:tc>
        <w:tc>
          <w:tcPr/>
          <w:p>
            <w:pPr>
              <w:pStyle w:val="Compact"/>
            </w:pPr>
            <w:r>
              <w:t xml:space="preserve">Zero-overhead unbiased sketch</w:t>
            </w:r>
            <w:hyperlink r:id="rId23">
              <w:r>
                <w:rPr>
                  <w:rStyle w:val="Hyperlink"/>
                </w:rPr>
                <w:t xml:space="preserve">[3]</w:t>
              </w:r>
            </w:hyperlink>
          </w:p>
        </w:tc>
      </w:tr>
      <w:tr>
        <w:tc>
          <w:tcPr/>
          <w:p>
            <w:pPr>
              <w:pStyle w:val="Compact"/>
            </w:pPr>
            <w:r>
              <w:rPr>
                <w:b/>
                <w:bCs/>
              </w:rPr>
              <w:t xml:space="preserve">TurboQuant (Polar+QJL)</w:t>
            </w:r>
          </w:p>
        </w:tc>
        <w:tc>
          <w:tcPr/>
          <w:p>
            <w:pPr>
              <w:pStyle w:val="Compact"/>
            </w:pPr>
            <w:r>
              <w:t xml:space="preserve">~4–5 (total)</w:t>
            </w:r>
          </w:p>
        </w:tc>
        <w:tc>
          <w:tcPr/>
          <w:p>
            <w:pPr>
              <w:pStyle w:val="Compact"/>
            </w:pPr>
            <w:r>
              <w:t xml:space="preserve">0×</w:t>
            </w:r>
          </w:p>
        </w:tc>
        <w:tc>
          <w:tcPr/>
          <w:p>
            <w:pPr>
              <w:pStyle w:val="Compact"/>
            </w:pPr>
            <w:r>
              <w:t xml:space="preserve">~0% (designed)</w:t>
            </w:r>
          </w:p>
        </w:tc>
        <w:tc>
          <w:tcPr/>
          <w:p>
            <w:pPr>
              <w:pStyle w:val="Compact"/>
            </w:pPr>
            <w:r>
              <w:t xml:space="preserve">KV cache &amp; NN search</w:t>
            </w:r>
          </w:p>
        </w:tc>
        <w:tc>
          <w:tcPr/>
          <w:p>
            <w:pPr>
              <w:pStyle w:val="Compact"/>
            </w:pPr>
            <w:r>
              <w:t xml:space="preserve">Provably near-optimal distortion</w:t>
            </w:r>
            <w:hyperlink r:id="rId21">
              <w:r>
                <w:rPr>
                  <w:rStyle w:val="Hyperlink"/>
                </w:rPr>
                <w:t xml:space="preserve">[1]</w:t>
              </w:r>
            </w:hyperlink>
          </w:p>
        </w:tc>
      </w:tr>
      <w:tr>
        <w:tc>
          <w:tcPr/>
          <w:p>
            <w:pPr>
              <w:pStyle w:val="Compact"/>
            </w:pPr>
            <w:r>
              <w:rPr>
                <w:b/>
                <w:bCs/>
              </w:rPr>
              <w:t xml:space="preserve">Hybrid MLP Quant (GPTQ)</w:t>
            </w:r>
          </w:p>
        </w:tc>
        <w:tc>
          <w:tcPr/>
          <w:p>
            <w:pPr>
              <w:pStyle w:val="Compact"/>
            </w:pPr>
            <w:r>
              <w:t xml:space="preserve">2–4</w:t>
            </w:r>
          </w:p>
        </w:tc>
        <w:tc>
          <w:tcPr/>
          <w:p>
            <w:pPr>
              <w:pStyle w:val="Compact"/>
            </w:pPr>
            <w:r>
              <w:t xml:space="preserve">0×</w:t>
            </w:r>
          </w:p>
        </w:tc>
        <w:tc>
          <w:tcPr/>
          <w:p>
            <w:pPr>
              <w:pStyle w:val="Compact"/>
            </w:pPr>
            <w:r>
              <w:t xml:space="preserve">~~small ~~</w:t>
            </w:r>
          </w:p>
        </w:tc>
        <w:tc>
          <w:tcPr/>
          <w:p>
            <w:pPr>
              <w:pStyle w:val="Compact"/>
            </w:pPr>
            <w:r>
              <w:t xml:space="preserve">Weight quantization (MLPs/LLMs)</w:t>
            </w:r>
          </w:p>
        </w:tc>
        <w:tc>
          <w:tcPr/>
          <w:p>
            <w:pPr>
              <w:pStyle w:val="Compact"/>
            </w:pPr>
            <w:r>
              <w:t xml:space="preserve">Off-the-shelf tools</w:t>
            </w:r>
          </w:p>
        </w:tc>
      </w:tr>
    </w:tbl>
    <w:p>
      <w:pPr>
        <w:pStyle w:val="BodyText"/>
      </w:pPr>
      <w:r>
        <w:rPr>
          <w:i/>
          <w:iCs/>
        </w:rPr>
        <w:t xml:space="preserve">Notes:</w:t>
      </w:r>
      <w:r>
        <w:t xml:space="preserve"> </w:t>
      </w:r>
      <w:r>
        <w:t xml:space="preserve">“Accuracy Impact” refers to observed degradation: TurboQuant and PolarQuant report</w:t>
      </w:r>
      <w:r>
        <w:t xml:space="preserve"> </w:t>
      </w:r>
      <w:r>
        <w:rPr>
          <w:i/>
          <w:iCs/>
        </w:rPr>
        <w:t xml:space="preserve">“absolute quality neutrality”</w:t>
      </w:r>
      <w:r>
        <w:t xml:space="preserve"> </w:t>
      </w:r>
      <w:r>
        <w:t xml:space="preserve">at their recommended bit widths</w:t>
      </w:r>
      <w:hyperlink r:id="rId24">
        <w:r>
          <w:rPr>
            <w:rStyle w:val="Hyperlink"/>
          </w:rPr>
          <w:t xml:space="preserve">[4]</w:t>
        </w:r>
      </w:hyperlink>
      <w:hyperlink r:id="rId22">
        <w:r>
          <w:rPr>
            <w:rStyle w:val="Hyperlink"/>
          </w:rPr>
          <w:t xml:space="preserve">[2]</w:t>
        </w:r>
      </w:hyperlink>
      <w:r>
        <w:t xml:space="preserve">. QJL alone has</w:t>
      </w:r>
      <w:r>
        <w:t xml:space="preserve"> </w:t>
      </w:r>
      <w:r>
        <w:rPr>
          <w:i/>
          <w:iCs/>
        </w:rPr>
        <w:t xml:space="preserve">zero bias</w:t>
      </w:r>
      <w:r>
        <w:t xml:space="preserve"> </w:t>
      </w:r>
      <w:r>
        <w:t xml:space="preserve">on inner products</w:t>
      </w:r>
      <w:hyperlink r:id="rId23">
        <w:r>
          <w:rPr>
            <w:rStyle w:val="Hyperlink"/>
          </w:rPr>
          <w:t xml:space="preserve">[3]</w:t>
        </w:r>
      </w:hyperlink>
      <w:r>
        <w:t xml:space="preserve">. Traditional methods either require overhead bits or suffer notable errors at &lt;8 bits.</w:t>
      </w:r>
    </w:p>
    <w:bookmarkEnd w:id="43"/>
    <w:bookmarkStart w:id="44" w:name="risk-mitigation"/>
    <w:p>
      <w:pPr>
        <w:pStyle w:val="Heading2"/>
      </w:pPr>
      <w:r>
        <w:t xml:space="preserve">Risk &amp; Mitigation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Risk</w:t>
            </w:r>
          </w:p>
        </w:tc>
        <w:tc>
          <w:tcPr/>
          <w:p>
            <w:pPr>
              <w:pStyle w:val="Compact"/>
            </w:pPr>
            <w:r>
              <w:t xml:space="preserve">Impact (L/M/H)</w:t>
            </w:r>
          </w:p>
        </w:tc>
        <w:tc>
          <w:tcPr/>
          <w:p>
            <w:pPr>
              <w:pStyle w:val="Compact"/>
            </w:pPr>
            <w:r>
              <w:t xml:space="preserve">Mitigation</w:t>
            </w:r>
          </w:p>
        </w:tc>
      </w:tr>
      <w:tr>
        <w:tc>
          <w:tcPr/>
          <w:p>
            <w:pPr>
              <w:pStyle w:val="Compact"/>
            </w:pPr>
            <w:r>
              <w:rPr>
                <w:b/>
                <w:bCs/>
              </w:rPr>
              <w:t xml:space="preserve">Accuracy Degradation:</w:t>
            </w:r>
            <w:r>
              <w:t xml:space="preserve"> </w:t>
            </w:r>
            <w:r>
              <w:t xml:space="preserve">Quantized model underperforms predicted targets.</w:t>
            </w:r>
          </w:p>
        </w:tc>
        <w:tc>
          <w:tcPr/>
          <w:p>
            <w:pPr>
              <w:pStyle w:val="Compact"/>
            </w:pPr>
            <w:r>
              <w:t xml:space="preserve">H</w:t>
            </w:r>
          </w:p>
        </w:tc>
        <w:tc>
          <w:tcPr/>
          <w:p>
            <w:pPr>
              <w:pStyle w:val="Compact"/>
            </w:pPr>
            <w:r>
              <w:t xml:space="preserve">Use bit-widths as in TurboQuant paper (≥3–4 bits); monitor calibration/Brier score; fallback to FP32 if metrics fall below thresholds.</w:t>
            </w:r>
          </w:p>
        </w:tc>
      </w:tr>
      <w:tr>
        <w:tc>
          <w:tcPr/>
          <w:p>
            <w:pPr>
              <w:pStyle w:val="Compact"/>
            </w:pPr>
            <w:r>
              <w:rPr>
                <w:b/>
                <w:bCs/>
              </w:rPr>
              <w:t xml:space="preserve">Integration Complexity:</w:t>
            </w:r>
            <w:r>
              <w:t xml:space="preserve"> </w:t>
            </w:r>
            <w:r>
              <w:t xml:space="preserve">Custom kernels may introduce bugs/delays.</w:t>
            </w:r>
          </w:p>
        </w:tc>
        <w:tc>
          <w:tcPr/>
          <w:p>
            <w:pPr>
              <w:pStyle w:val="Compact"/>
            </w:pPr>
            <w:r>
              <w:t xml:space="preserve">M</w:t>
            </w:r>
          </w:p>
        </w:tc>
        <w:tc>
          <w:tcPr/>
          <w:p>
            <w:pPr>
              <w:pStyle w:val="Compact"/>
            </w:pPr>
            <w:r>
              <w:t xml:space="preserve">Leverage existing libraries (e.g. 0xSero turboquant, Triton); incremental testing; start with Python fallback mode before optimizing.</w:t>
            </w:r>
          </w:p>
        </w:tc>
      </w:tr>
      <w:tr>
        <w:tc>
          <w:tcPr/>
          <w:p>
            <w:pPr>
              <w:pStyle w:val="Compact"/>
            </w:pPr>
            <w:r>
              <w:rPr>
                <w:b/>
                <w:bCs/>
              </w:rPr>
              <w:t xml:space="preserve">Latency Overhead:</w:t>
            </w:r>
            <w:r>
              <w:t xml:space="preserve"> </w:t>
            </w:r>
            <w:r>
              <w:t xml:space="preserve">Extra computation slows inference.</w:t>
            </w:r>
          </w:p>
        </w:tc>
        <w:tc>
          <w:tcPr/>
          <w:p>
            <w:pPr>
              <w:pStyle w:val="Compact"/>
            </w:pPr>
            <w:r>
              <w:t xml:space="preserve">M</w:t>
            </w:r>
          </w:p>
        </w:tc>
        <w:tc>
          <w:tcPr/>
          <w:p>
            <w:pPr>
              <w:pStyle w:val="Compact"/>
            </w:pPr>
            <w:r>
              <w:t xml:space="preserve">Optimize rotations via batched GPU ops; consider fused implementations; if small model, quantization optional. Profile to ensure net gain.</w:t>
            </w:r>
          </w:p>
        </w:tc>
      </w:tr>
      <w:tr>
        <w:tc>
          <w:tcPr/>
          <w:p>
            <w:pPr>
              <w:pStyle w:val="Compact"/>
            </w:pPr>
            <w:r>
              <w:rPr>
                <w:b/>
                <w:bCs/>
              </w:rPr>
              <w:t xml:space="preserve">Dev Time and Resources:</w:t>
            </w:r>
            <w:r>
              <w:t xml:space="preserve"> </w:t>
            </w:r>
            <w:r>
              <w:t xml:space="preserve">Significant engineering effort.</w:t>
            </w:r>
          </w:p>
        </w:tc>
        <w:tc>
          <w:tcPr/>
          <w:p>
            <w:pPr>
              <w:pStyle w:val="Compact"/>
            </w:pPr>
            <w:r>
              <w:t xml:space="preserve">M</w:t>
            </w:r>
          </w:p>
        </w:tc>
        <w:tc>
          <w:tcPr/>
          <w:p>
            <w:pPr>
              <w:pStyle w:val="Compact"/>
            </w:pPr>
            <w:r>
              <w:t xml:space="preserve">Prioritize critical paths (KV cache). Reuse community code. Phase work: stage1 first, then QJL if needed.</w:t>
            </w:r>
          </w:p>
        </w:tc>
      </w:tr>
      <w:tr>
        <w:tc>
          <w:tcPr/>
          <w:p>
            <w:pPr>
              <w:pStyle w:val="Compact"/>
            </w:pPr>
            <w:r>
              <w:rPr>
                <w:b/>
                <w:bCs/>
              </w:rPr>
              <w:t xml:space="preserve">Regulatory/Explainability:</w:t>
            </w:r>
            <w:r>
              <w:t xml:space="preserve"> </w:t>
            </w:r>
            <w:r>
              <w:t xml:space="preserve">New transforms make model behavior opaque.</w:t>
            </w:r>
          </w:p>
        </w:tc>
        <w:tc>
          <w:tcPr/>
          <w:p>
            <w:pPr>
              <w:pStyle w:val="Compact"/>
            </w:pPr>
            <w:r>
              <w:t xml:space="preserve">L</w:t>
            </w:r>
          </w:p>
        </w:tc>
        <w:tc>
          <w:tcPr/>
          <w:p>
            <w:pPr>
              <w:pStyle w:val="Compact"/>
            </w:pPr>
            <w:r>
              <w:t xml:space="preserve">Document methodology; fix random seeds; compare predictions side-by-side; keep audit logs of model outputs; maintain an unquantized model for compliance checks.</w:t>
            </w:r>
          </w:p>
        </w:tc>
      </w:tr>
      <w:tr>
        <w:tc>
          <w:tcPr/>
          <w:p>
            <w:pPr>
              <w:pStyle w:val="Compact"/>
            </w:pPr>
            <w:r>
              <w:rPr>
                <w:b/>
                <w:bCs/>
              </w:rPr>
              <w:t xml:space="preserve">Data Drift/Distribution Shift:</w:t>
            </w:r>
            <w:r>
              <w:t xml:space="preserve"> </w:t>
            </w:r>
            <w:r>
              <w:t xml:space="preserve">Quantizer tuned to one data regime.</w:t>
            </w:r>
          </w:p>
        </w:tc>
        <w:tc>
          <w:tcPr/>
          <w:p>
            <w:pPr>
              <w:pStyle w:val="Compact"/>
            </w:pPr>
            <w:r>
              <w:t xml:space="preserve">M</w:t>
            </w:r>
          </w:p>
        </w:tc>
        <w:tc>
          <w:tcPr/>
          <w:p>
            <w:pPr>
              <w:pStyle w:val="Compact"/>
            </w:pPr>
            <w:r>
              <w:t xml:space="preserve">TurboQuant is data-oblivious; still, periodically re-evaluate on new data; if needed, adjust bit-width or retrain codebook for extreme shifts.</w:t>
            </w:r>
          </w:p>
        </w:tc>
      </w:tr>
    </w:tbl>
    <w:bookmarkEnd w:id="44"/>
    <w:bookmarkStart w:id="45" w:name="diagrams"/>
    <w:p>
      <w:pPr>
        <w:pStyle w:val="Heading2"/>
      </w:pPr>
      <w:r>
        <w:t xml:space="preserve">Diagrams</w:t>
      </w:r>
    </w:p>
    <w:p>
      <w:pPr>
        <w:pStyle w:val="FirstParagraph"/>
      </w:pPr>
      <w:r>
        <w:t xml:space="preserve">The following flowchart illustrates how TurboQuant integrates into the FPPE inference pipeline. It shows a baseline (full-precision) path and the TurboQuant-compressed path in parallel, with a comparison of outputs.</w:t>
      </w:r>
    </w:p>
    <w:p>
      <w:pPr>
        <w:pStyle w:val="SourceCode"/>
      </w:pPr>
      <w:r>
        <w:rPr>
          <w:rStyle w:val="VerbatimChar"/>
        </w:rPr>
        <w:t xml:space="preserve">flowchart TB</w:t>
      </w:r>
      <w:r>
        <w:br/>
      </w:r>
      <w:r>
        <w:rPr>
          <w:rStyle w:val="VerbatimChar"/>
        </w:rPr>
        <w:t xml:space="preserve">    subgraph Baseline</w:t>
      </w:r>
      <w:r>
        <w:br/>
      </w:r>
      <w:r>
        <w:rPr>
          <w:rStyle w:val="VerbatimChar"/>
        </w:rPr>
        <w:t xml:space="preserve">        A1[Raw Input Data] --&gt; B1[FPPE Model (FP32)]</w:t>
      </w:r>
      <w:r>
        <w:br/>
      </w:r>
      <w:r>
        <w:rPr>
          <w:rStyle w:val="VerbatimChar"/>
        </w:rPr>
        <w:t xml:space="preserve">        B1 --&gt; C1[Full-Precision Inference]</w:t>
      </w:r>
      <w:r>
        <w:br/>
      </w:r>
      <w:r>
        <w:rPr>
          <w:rStyle w:val="VerbatimChar"/>
        </w:rPr>
        <w:t xml:space="preserve">        C1 --&gt; D1[Outputs (Prob/Pred)]</w:t>
      </w:r>
      <w:r>
        <w:br/>
      </w:r>
      <w:r>
        <w:rPr>
          <w:rStyle w:val="VerbatimChar"/>
        </w:rPr>
        <w:t xml:space="preserve">    end</w:t>
      </w:r>
      <w:r>
        <w:br/>
      </w:r>
      <w:r>
        <w:rPr>
          <w:rStyle w:val="VerbatimChar"/>
        </w:rPr>
        <w:t xml:space="preserve">    subgraph TurboQuant</w:t>
      </w:r>
      <w:r>
        <w:br/>
      </w:r>
      <w:r>
        <w:rPr>
          <w:rStyle w:val="VerbatimChar"/>
        </w:rPr>
        <w:t xml:space="preserve">        A2[Raw Input Data] --&gt; B2[FPPE Model (with TurboQuant)]</w:t>
      </w:r>
      <w:r>
        <w:br/>
      </w:r>
      <w:r>
        <w:rPr>
          <w:rStyle w:val="VerbatimChar"/>
        </w:rPr>
        <w:t xml:space="preserve">        B2 --&gt; F1[Rotate &amp; Quantize KV / Vectors]</w:t>
      </w:r>
      <w:r>
        <w:br/>
      </w:r>
      <w:r>
        <w:rPr>
          <w:rStyle w:val="VerbatimChar"/>
        </w:rPr>
        <w:t xml:space="preserve">        F1 --&gt; C2[Quantized Inference]</w:t>
      </w:r>
      <w:r>
        <w:br/>
      </w:r>
      <w:r>
        <w:rPr>
          <w:rStyle w:val="VerbatimChar"/>
        </w:rPr>
        <w:t xml:space="preserve">        C2 --&gt; D2[Outputs (Prob/Pred)]</w:t>
      </w:r>
      <w:r>
        <w:br/>
      </w:r>
      <w:r>
        <w:rPr>
          <w:rStyle w:val="VerbatimChar"/>
        </w:rPr>
        <w:t xml:space="preserve">    end</w:t>
      </w:r>
      <w:r>
        <w:br/>
      </w:r>
      <w:r>
        <w:rPr>
          <w:rStyle w:val="VerbatimChar"/>
        </w:rPr>
        <w:t xml:space="preserve">    D1 --&gt;|Compare| E[Performance Metrics]</w:t>
      </w:r>
      <w:r>
        <w:br/>
      </w:r>
      <w:r>
        <w:rPr>
          <w:rStyle w:val="VerbatimChar"/>
        </w:rPr>
        <w:t xml:space="preserve">    D2 --&gt;|Compare| E</w:t>
      </w:r>
      <w:r>
        <w:br/>
      </w:r>
      <w:r>
        <w:rPr>
          <w:rStyle w:val="VerbatimChar"/>
        </w:rPr>
        <w:t xml:space="preserve">    subgraph Pipeline</w:t>
      </w:r>
      <w:r>
        <w:br/>
      </w:r>
      <w:r>
        <w:rPr>
          <w:rStyle w:val="VerbatimChar"/>
        </w:rPr>
        <w:t xml:space="preserve">        E --&gt; G[Analyze Accuracy, Latency, Memory]</w:t>
      </w:r>
      <w:r>
        <w:br/>
      </w:r>
      <w:r>
        <w:rPr>
          <w:rStyle w:val="VerbatimChar"/>
        </w:rPr>
        <w:t xml:space="preserve">    end</w:t>
      </w:r>
    </w:p>
    <w:p>
      <w:pPr>
        <w:pStyle w:val="FirstParagraph"/>
      </w:pPr>
      <w:r>
        <w:t xml:space="preserve">This shows that after training (unchanged), the inference branch can optionally apply the TurboQuant module (rotation + quantization) to embeddings and caches. Both paths produce predictions which are then compared.</w:t>
      </w:r>
    </w:p>
    <w:p>
      <w:pPr>
        <w:pStyle w:val="BodyText"/>
      </w:pPr>
      <w:r>
        <w:t xml:space="preserve">The experiment</w:t>
      </w:r>
      <w:r>
        <w:t xml:space="preserve"> </w:t>
      </w:r>
      <w:r>
        <w:rPr>
          <w:b/>
          <w:bCs/>
        </w:rPr>
        <w:t xml:space="preserve">timeline</w:t>
      </w:r>
      <w:r>
        <w:t xml:space="preserve"> </w:t>
      </w:r>
      <w:r>
        <w:t xml:space="preserve">below outlines a possible schedule for integration and testing.</w:t>
      </w:r>
    </w:p>
    <w:p>
      <w:pPr>
        <w:pStyle w:val="SourceCode"/>
      </w:pPr>
      <w:r>
        <w:rPr>
          <w:rStyle w:val="VerbatimChar"/>
        </w:rPr>
        <w:t xml:space="preserve">gantt</w:t>
      </w:r>
      <w:r>
        <w:br/>
      </w:r>
      <w:r>
        <w:rPr>
          <w:rStyle w:val="VerbatimChar"/>
        </w:rPr>
        <w:t xml:space="preserve">    title TurboQuant Integration &amp; Experiment Timeline</w:t>
      </w:r>
      <w:r>
        <w:br/>
      </w:r>
      <w:r>
        <w:rPr>
          <w:rStyle w:val="VerbatimChar"/>
        </w:rPr>
        <w:t xml:space="preserve">    dateFormat  YYYY-MM-DD</w:t>
      </w:r>
      <w:r>
        <w:br/>
      </w:r>
      <w:r>
        <w:rPr>
          <w:rStyle w:val="VerbatimChar"/>
        </w:rPr>
        <w:t xml:space="preserve">    section Setup</w:t>
      </w:r>
      <w:r>
        <w:br/>
      </w:r>
      <w:r>
        <w:rPr>
          <w:rStyle w:val="VerbatimChar"/>
        </w:rPr>
        <w:t xml:space="preserve">    Prepare Environment          :done, 2026-04-01, 14d</w:t>
      </w:r>
      <w:r>
        <w:br/>
      </w:r>
      <w:r>
        <w:rPr>
          <w:rStyle w:val="VerbatimChar"/>
        </w:rPr>
        <w:t xml:space="preserve">    Acquire Public Data          :done, 2026-04-01, 14d</w:t>
      </w:r>
      <w:r>
        <w:br/>
      </w:r>
      <w:r>
        <w:rPr>
          <w:rStyle w:val="VerbatimChar"/>
        </w:rPr>
        <w:t xml:space="preserve">    section Integration</w:t>
      </w:r>
      <w:r>
        <w:br/>
      </w:r>
      <w:r>
        <w:rPr>
          <w:rStyle w:val="VerbatimChar"/>
        </w:rPr>
        <w:t xml:space="preserve">    Develop Quant Module         :active, 2026-04-15, 21d</w:t>
      </w:r>
      <w:r>
        <w:br/>
      </w:r>
      <w:r>
        <w:rPr>
          <w:rStyle w:val="VerbatimChar"/>
        </w:rPr>
        <w:t xml:space="preserve">    Integrate into FPPE Pipeline :2026-05-06, 14d</w:t>
      </w:r>
      <w:r>
        <w:br/>
      </w:r>
      <w:r>
        <w:rPr>
          <w:rStyle w:val="VerbatimChar"/>
        </w:rPr>
        <w:t xml:space="preserve">    Validate on Toy Models       :2026-05-20, 7d</w:t>
      </w:r>
      <w:r>
        <w:br/>
      </w:r>
      <w:r>
        <w:rPr>
          <w:rStyle w:val="VerbatimChar"/>
        </w:rPr>
        <w:t xml:space="preserve">    section Experiments</w:t>
      </w:r>
      <w:r>
        <w:br/>
      </w:r>
      <w:r>
        <w:rPr>
          <w:rStyle w:val="VerbatimChar"/>
        </w:rPr>
        <w:t xml:space="preserve">    Baseline Evaluation          :2026-05-27, 14d</w:t>
      </w:r>
      <w:r>
        <w:br/>
      </w:r>
      <w:r>
        <w:rPr>
          <w:rStyle w:val="VerbatimChar"/>
        </w:rPr>
        <w:t xml:space="preserve">    TurboQuant Evaluation        :2026-06-10, 14d</w:t>
      </w:r>
      <w:r>
        <w:br/>
      </w:r>
      <w:r>
        <w:rPr>
          <w:rStyle w:val="VerbatimChar"/>
        </w:rPr>
        <w:t xml:space="preserve">    Performance Benchmarking     :2026-06-24, 14d</w:t>
      </w:r>
      <w:r>
        <w:br/>
      </w:r>
      <w:r>
        <w:rPr>
          <w:rStyle w:val="VerbatimChar"/>
        </w:rPr>
        <w:t xml:space="preserve">    Statistical Analysis         :2026-07-08, 7d</w:t>
      </w:r>
      <w:r>
        <w:br/>
      </w:r>
      <w:r>
        <w:rPr>
          <w:rStyle w:val="VerbatimChar"/>
        </w:rPr>
        <w:t xml:space="preserve">    section Wrap-Up</w:t>
      </w:r>
      <w:r>
        <w:br/>
      </w:r>
      <w:r>
        <w:rPr>
          <w:rStyle w:val="VerbatimChar"/>
        </w:rPr>
        <w:t xml:space="preserve">    Document Results             :2026-07-15, 7d</w:t>
      </w:r>
      <w:r>
        <w:br/>
      </w:r>
      <w:r>
        <w:rPr>
          <w:rStyle w:val="VerbatimChar"/>
        </w:rPr>
        <w:t xml:space="preserve">    Final Review &amp; Handoff       :2026-07-22, 7d</w:t>
      </w:r>
    </w:p>
    <w:p>
      <w:pPr>
        <w:pStyle w:val="FirstParagraph"/>
      </w:pPr>
      <w:r>
        <w:t xml:space="preserve">The Gantt chart shows concurrent preparation (data/environment), then sequential integration and testing phases. This timeline is illustrative and should be adapted to actual resources.</w:t>
      </w:r>
    </w:p>
    <w:p>
      <w:r>
        <w:pict>
          <v:rect style="width:0;height:1.5pt" o:hralign="center" o:hrstd="t" o:hr="t"/>
        </w:pict>
      </w:r>
    </w:p>
    <w:p>
      <w:pPr>
        <w:pStyle w:val="FirstParagraph"/>
      </w:pPr>
      <w:r>
        <w:rPr>
          <w:b/>
          <w:bCs/>
        </w:rPr>
        <w:t xml:space="preserve">Sources:</w:t>
      </w:r>
      <w:r>
        <w:t xml:space="preserve"> </w:t>
      </w:r>
      <w:r>
        <w:t xml:space="preserve">We base our analysis on the</w:t>
      </w:r>
      <w:r>
        <w:t xml:space="preserve"> </w:t>
      </w:r>
      <w:r>
        <w:rPr>
          <w:b/>
          <w:bCs/>
        </w:rPr>
        <w:t xml:space="preserve">TurboQuant</w:t>
      </w:r>
      <w:r>
        <w:t xml:space="preserve"> </w:t>
      </w:r>
      <w:r>
        <w:t xml:space="preserve">research (ICLR 2026) and related publications. Key details are from the official paper</w:t>
      </w:r>
      <w:hyperlink r:id="rId21">
        <w:r>
          <w:rPr>
            <w:rStyle w:val="Hyperlink"/>
          </w:rPr>
          <w:t xml:space="preserve">[1]</w:t>
        </w:r>
      </w:hyperlink>
      <w:hyperlink r:id="rId24">
        <w:r>
          <w:rPr>
            <w:rStyle w:val="Hyperlink"/>
          </w:rPr>
          <w:t xml:space="preserve">[4]</w:t>
        </w:r>
      </w:hyperlink>
      <w:r>
        <w:t xml:space="preserve">, the PolarQuant paper</w:t>
      </w:r>
      <w:hyperlink r:id="rId22">
        <w:r>
          <w:rPr>
            <w:rStyle w:val="Hyperlink"/>
          </w:rPr>
          <w:t xml:space="preserve">[2]</w:t>
        </w:r>
      </w:hyperlink>
      <w:r>
        <w:t xml:space="preserve">, and the QJL paper</w:t>
      </w:r>
      <w:hyperlink r:id="rId23">
        <w:r>
          <w:rPr>
            <w:rStyle w:val="Hyperlink"/>
          </w:rPr>
          <w:t xml:space="preserve">[3]</w:t>
        </w:r>
      </w:hyperlink>
      <w:r>
        <w:t xml:space="preserve">. (Performance claims also appear in Google’s blogs/news</w:t>
      </w:r>
      <w:hyperlink r:id="rId25">
        <w:r>
          <w:rPr>
            <w:rStyle w:val="Hyperlink"/>
          </w:rPr>
          <w:t xml:space="preserve">[5]</w:t>
        </w:r>
      </w:hyperlink>
      <w:r>
        <w:t xml:space="preserve"> </w:t>
      </w:r>
      <w:r>
        <w:t xml:space="preserve">and implementations</w:t>
      </w:r>
      <w:hyperlink r:id="rId35">
        <w:r>
          <w:rPr>
            <w:rStyle w:val="Hyperlink"/>
          </w:rPr>
          <w:t xml:space="preserve">[14]</w:t>
        </w:r>
      </w:hyperlink>
      <w:r>
        <w:t xml:space="preserve">.) All techniques cited above are grounded in these sources. We recommend reviewing the original publications for full technical details.</w:t>
      </w:r>
    </w:p>
    <w:bookmarkEnd w:id="45"/>
    <w:bookmarkEnd w:id="46"/>
    <w:bookmarkEnd w:id="47"/>
    <w:p>
      <w:r>
        <w:pict>
          <v:rect style="width:0;height:1.5pt" o:hralign="center" o:hrstd="t" o:hr="t"/>
        </w:pict>
      </w:r>
    </w:p>
    <w:bookmarkStart w:id="55" w:name="citations"/>
    <w:p>
      <w:pPr>
        <w:pStyle w:val="FirstParagraph"/>
      </w:pPr>
      <w:hyperlink r:id="rId21">
        <w:r>
          <w:rPr>
            <w:rStyle w:val="Hyperlink"/>
          </w:rPr>
          <w:t xml:space="preserve">[1]</w:t>
        </w:r>
      </w:hyperlink>
      <w:r>
        <w:t xml:space="preserve"> </w:t>
      </w:r>
      <w:hyperlink r:id="rId24">
        <w:r>
          <w:rPr>
            <w:rStyle w:val="Hyperlink"/>
          </w:rPr>
          <w:t xml:space="preserve">[4]</w:t>
        </w:r>
      </w:hyperlink>
      <w:r>
        <w:t xml:space="preserve"> </w:t>
      </w:r>
      <w:hyperlink r:id="rId27">
        <w:r>
          <w:rPr>
            <w:rStyle w:val="Hyperlink"/>
          </w:rPr>
          <w:t xml:space="preserve">[7]</w:t>
        </w:r>
      </w:hyperlink>
      <w:r>
        <w:t xml:space="preserve"> </w:t>
      </w:r>
      <w:hyperlink r:id="rId29">
        <w:r>
          <w:rPr>
            <w:rStyle w:val="Hyperlink"/>
          </w:rPr>
          <w:t xml:space="preserve">[9]</w:t>
        </w:r>
      </w:hyperlink>
      <w:r>
        <w:t xml:space="preserve"> </w:t>
      </w:r>
      <w:hyperlink r:id="rId32">
        <w:r>
          <w:rPr>
            <w:rStyle w:val="Hyperlink"/>
          </w:rPr>
          <w:t xml:space="preserve">[12]</w:t>
        </w:r>
      </w:hyperlink>
      <w:r>
        <w:t xml:space="preserve"> </w:t>
      </w:r>
      <w:r>
        <w:t xml:space="preserve">[2504.19874] TurboQuant: Online Vector Quantization with Near-optimal Distortion Rate</w:t>
      </w:r>
    </w:p>
    <w:p>
      <w:pPr>
        <w:pStyle w:val="BodyText"/>
      </w:pPr>
      <w:hyperlink r:id="rId48">
        <w:r>
          <w:rPr>
            <w:rStyle w:val="Hyperlink"/>
          </w:rPr>
          <w:t xml:space="preserve">https://ar5iv.labs.arxiv.org/html/2504.19874</w:t>
        </w:r>
      </w:hyperlink>
    </w:p>
    <w:p>
      <w:pPr>
        <w:pStyle w:val="BodyText"/>
      </w:pPr>
      <w:hyperlink r:id="rId22">
        <w:r>
          <w:rPr>
            <w:rStyle w:val="Hyperlink"/>
          </w:rPr>
          <w:t xml:space="preserve">[2]</w:t>
        </w:r>
      </w:hyperlink>
      <w:r>
        <w:t xml:space="preserve"> </w:t>
      </w:r>
      <w:r>
        <w:t xml:space="preserve">[2502.02617] PolarQuant: Quantizing KV Caches with Polar Transformation</w:t>
      </w:r>
    </w:p>
    <w:p>
      <w:pPr>
        <w:pStyle w:val="BodyText"/>
      </w:pPr>
      <w:hyperlink r:id="rId49">
        <w:r>
          <w:rPr>
            <w:rStyle w:val="Hyperlink"/>
          </w:rPr>
          <w:t xml:space="preserve">https://arxiv.org/abs/2502.02617</w:t>
        </w:r>
      </w:hyperlink>
    </w:p>
    <w:p>
      <w:pPr>
        <w:pStyle w:val="BodyText"/>
      </w:pPr>
      <w:hyperlink r:id="rId23">
        <w:r>
          <w:rPr>
            <w:rStyle w:val="Hyperlink"/>
          </w:rPr>
          <w:t xml:space="preserve">[3]</w:t>
        </w:r>
      </w:hyperlink>
      <w:r>
        <w:t xml:space="preserve"> </w:t>
      </w:r>
      <w:r>
        <w:t xml:space="preserve">QJL: 1-Bit Quantized JL Transform for KV Cache Quantization with Zero Overhead</w:t>
      </w:r>
    </w:p>
    <w:p>
      <w:pPr>
        <w:pStyle w:val="BodyText"/>
      </w:pPr>
      <w:hyperlink r:id="rId50">
        <w:r>
          <w:rPr>
            <w:rStyle w:val="Hyperlink"/>
          </w:rPr>
          <w:t xml:space="preserve">https://par.nsf.gov/servlets/purl/10644417</w:t>
        </w:r>
      </w:hyperlink>
    </w:p>
    <w:p>
      <w:pPr>
        <w:pStyle w:val="BodyText"/>
      </w:pPr>
      <w:hyperlink r:id="rId25">
        <w:r>
          <w:rPr>
            <w:rStyle w:val="Hyperlink"/>
          </w:rPr>
          <w:t xml:space="preserve">[5]</w:t>
        </w:r>
      </w:hyperlink>
      <w:r>
        <w:t xml:space="preserve"> </w:t>
      </w:r>
      <w:hyperlink r:id="rId31">
        <w:r>
          <w:rPr>
            <w:rStyle w:val="Hyperlink"/>
          </w:rPr>
          <w:t xml:space="preserve">[11]</w:t>
        </w:r>
      </w:hyperlink>
      <w:r>
        <w:t xml:space="preserve"> </w:t>
      </w:r>
      <w:r>
        <w:t xml:space="preserve">Google's new TurboQuant algorithm speeds up AI memory 8x, cutting costs by 50% or more | VentureBeat</w:t>
      </w:r>
    </w:p>
    <w:p>
      <w:pPr>
        <w:pStyle w:val="BodyText"/>
      </w:pPr>
      <w:hyperlink r:id="rId51">
        <w:r>
          <w:rPr>
            <w:rStyle w:val="Hyperlink"/>
          </w:rPr>
          <w:t xml:space="preserve">https://venturebeat.com/infrastructure/googles-new-turboquant-algorithm-speeds-up-ai-memory-8x-cutting-costs-by-50</w:t>
        </w:r>
      </w:hyperlink>
    </w:p>
    <w:p>
      <w:pPr>
        <w:pStyle w:val="BodyText"/>
      </w:pPr>
      <w:hyperlink r:id="rId26">
        <w:r>
          <w:rPr>
            <w:rStyle w:val="Hyperlink"/>
          </w:rPr>
          <w:t xml:space="preserve">[6]</w:t>
        </w:r>
      </w:hyperlink>
      <w:r>
        <w:t xml:space="preserve"> </w:t>
      </w:r>
      <w:hyperlink r:id="rId28">
        <w:r>
          <w:rPr>
            <w:rStyle w:val="Hyperlink"/>
          </w:rPr>
          <w:t xml:space="preserve">[8]</w:t>
        </w:r>
      </w:hyperlink>
      <w:r>
        <w:t xml:space="preserve"> </w:t>
      </w:r>
      <w:hyperlink r:id="rId33">
        <w:r>
          <w:rPr>
            <w:rStyle w:val="Hyperlink"/>
          </w:rPr>
          <w:t xml:space="preserve">[13]</w:t>
        </w:r>
      </w:hyperlink>
      <w:r>
        <w:t xml:space="preserve"> </w:t>
      </w:r>
      <w:hyperlink r:id="rId36">
        <w:r>
          <w:rPr>
            <w:rStyle w:val="Hyperlink"/>
          </w:rPr>
          <w:t xml:space="preserve">[15]</w:t>
        </w:r>
      </w:hyperlink>
      <w:r>
        <w:t xml:space="preserve"> </w:t>
      </w:r>
      <w:hyperlink r:id="rId40">
        <w:r>
          <w:rPr>
            <w:rStyle w:val="Hyperlink"/>
          </w:rPr>
          <w:t xml:space="preserve">[16]</w:t>
        </w:r>
      </w:hyperlink>
      <w:r>
        <w:t xml:space="preserve"> </w:t>
      </w:r>
      <w:r>
        <w:t xml:space="preserve">TurboQuant: From Paper to Triton Kernel in One Session – DEJAN</w:t>
      </w:r>
    </w:p>
    <w:p>
      <w:pPr>
        <w:pStyle w:val="BodyText"/>
      </w:pPr>
      <w:hyperlink r:id="rId52">
        <w:r>
          <w:rPr>
            <w:rStyle w:val="Hyperlink"/>
          </w:rPr>
          <w:t xml:space="preserve">https://dejan.ai/blog/turboquant/</w:t>
        </w:r>
      </w:hyperlink>
    </w:p>
    <w:p>
      <w:pPr>
        <w:pStyle w:val="BodyText"/>
      </w:pPr>
      <w:hyperlink r:id="rId30">
        <w:r>
          <w:rPr>
            <w:rStyle w:val="Hyperlink"/>
          </w:rPr>
          <w:t xml:space="preserve">[10]</w:t>
        </w:r>
      </w:hyperlink>
      <w:r>
        <w:t xml:space="preserve"> </w:t>
      </w:r>
      <w:r>
        <w:t xml:space="preserve">TurboQuant: Redefining AI efficiency with extreme compression</w:t>
      </w:r>
    </w:p>
    <w:p>
      <w:pPr>
        <w:pStyle w:val="BodyText"/>
      </w:pPr>
      <w:hyperlink r:id="rId53">
        <w:r>
          <w:rPr>
            <w:rStyle w:val="Hyperlink"/>
          </w:rPr>
          <w:t xml:space="preserve">https://research.google/blog/turboquant-redefining-ai-efficiency-with-extreme-compression/</w:t>
        </w:r>
      </w:hyperlink>
    </w:p>
    <w:p>
      <w:pPr>
        <w:pStyle w:val="BodyText"/>
      </w:pPr>
      <w:hyperlink r:id="rId35">
        <w:r>
          <w:rPr>
            <w:rStyle w:val="Hyperlink"/>
          </w:rPr>
          <w:t xml:space="preserve">[14]</w:t>
        </w:r>
      </w:hyperlink>
      <w:r>
        <w:t xml:space="preserve"> </w:t>
      </w:r>
      <w:r>
        <w:t xml:space="preserve">turboquant/README.md at main · 0xSero/turboquant · GitHub</w:t>
      </w:r>
    </w:p>
    <w:p>
      <w:pPr>
        <w:pStyle w:val="BodyText"/>
      </w:pPr>
      <w:hyperlink r:id="rId54">
        <w:r>
          <w:rPr>
            <w:rStyle w:val="Hyperlink"/>
          </w:rPr>
          <w:t xml:space="preserve">https://github.com/0xSero/turboquant/blob/main/README.md</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https://ar5iv.labs.arxiv.org/html/2504.19874" TargetMode="External" /><Relationship Type="http://schemas.openxmlformats.org/officeDocument/2006/relationships/hyperlink" Id="rId32" Target="https://ar5iv.labs.arxiv.org/html/2504.19874#:~:text=Furthermore%2C%20in%20nearest%20neighbor%20search,indexing%20time%20to%20virtually%20zero" TargetMode="External" /><Relationship Type="http://schemas.openxmlformats.org/officeDocument/2006/relationships/hyperlink" Id="rId27" Target="https://ar5iv.labs.arxiv.org/html/2504.19874#:~:text=The%20core%20of%20TurboQuant%20is,means%20problem.%20This%20method%20gives" TargetMode="External" /><Relationship Type="http://schemas.openxmlformats.org/officeDocument/2006/relationships/hyperlink" Id="rId24" Target="https://ar5iv.labs.arxiv.org/html/2504.19874#:~:text=factor,indexing%20time%20to%20virtually%20zero" TargetMode="External" /><Relationship Type="http://schemas.openxmlformats.org/officeDocument/2006/relationships/hyperlink" Id="rId29" Target="https://ar5iv.labs.arxiv.org/html/2504.19874#:~:text=optimal%20quantizer%20starts%20by%20randomly,optimal%20distortion%20bounds%20for%20both" TargetMode="External" /><Relationship Type="http://schemas.openxmlformats.org/officeDocument/2006/relationships/hyperlink" Id="rId21" Target="https://ar5iv.labs.arxiv.org/html/2504.19874#:~:text=optimal%20scalar%20quantizers%20per%20each,5%20bits%20per%20channel" TargetMode="External" /><Relationship Type="http://schemas.openxmlformats.org/officeDocument/2006/relationships/hyperlink" Id="rId49" Target="https://arxiv.org/abs/2502.02617" TargetMode="External" /><Relationship Type="http://schemas.openxmlformats.org/officeDocument/2006/relationships/hyperlink" Id="rId22" Target="https://arxiv.org/abs/2502.02617#:~:text=step%20required%20by%20traditional%20quantization,art%20methods" TargetMode="External" /><Relationship Type="http://schemas.openxmlformats.org/officeDocument/2006/relationships/hyperlink" Id="rId52" Target="https://dejan.ai/blog/turboquant/" TargetMode="External" /><Relationship Type="http://schemas.openxmlformats.org/officeDocument/2006/relationships/hyperlink" Id="rId40" Target="https://dejan.ai/blog/turboquant/#:~:text=Cosine%20similarity%20between%20the%20kernel,The%20kernel%20is%20numerically%20exact" TargetMode="External" /><Relationship Type="http://schemas.openxmlformats.org/officeDocument/2006/relationships/hyperlink" Id="rId28" Target="https://dejan.ai/blog/turboquant/#:~:text=Stage%201%20%E2%80%94%20Random%20rotation,Just%20rotate%20and%20quantize" TargetMode="External" /><Relationship Type="http://schemas.openxmlformats.org/officeDocument/2006/relationships/hyperlink" Id="rId36" Target="https://dejan.ai/blog/turboquant/#:~:text=Stage%202%20%E2%80%94%20QJL%20residual,more%20on%20that%20later" TargetMode="External" /><Relationship Type="http://schemas.openxmlformats.org/officeDocument/2006/relationships/hyperlink" Id="rId33" Target="https://dejan.ai/blog/turboquant/#:~:text=The%20theoretical%20backing%20is%20strong%3A,that%E2%80%99s%20essentially%20optimal" TargetMode="External" /><Relationship Type="http://schemas.openxmlformats.org/officeDocument/2006/relationships/hyperlink" Id="rId26" Target="https://dejan.ai/blog/turboquant/#:~:text=accepted%20at%20ICLR%202026,8x%20speedup%20on%20H100%20GPUs" TargetMode="External" /><Relationship Type="http://schemas.openxmlformats.org/officeDocument/2006/relationships/hyperlink" Id="rId39" Target="https://github.com/0xSero/turboquant" TargetMode="External" /><Relationship Type="http://schemas.openxmlformats.org/officeDocument/2006/relationships/hyperlink" Id="rId54" Target="https://github.com/0xSero/turboquant/blob/main/README.md" TargetMode="External" /><Relationship Type="http://schemas.openxmlformats.org/officeDocument/2006/relationships/hyperlink" Id="rId35" Target="https://github.com/0xSero/turboquant/blob/main/README.md#:~:text=Metric%20Baseline%20,7.0" TargetMode="External" /><Relationship Type="http://schemas.openxmlformats.org/officeDocument/2006/relationships/hyperlink" Id="rId50" Target="https://par.nsf.gov/servlets/purl/10644417" TargetMode="External" /><Relationship Type="http://schemas.openxmlformats.org/officeDocument/2006/relationships/hyperlink" Id="rId23" Target="https://par.nsf.gov/servlets/purl/10644417#:~:text=The%20inner%20product%20of%20the,of%20the%20quantized%20vector%20with" TargetMode="External" /><Relationship Type="http://schemas.openxmlformats.org/officeDocument/2006/relationships/hyperlink" Id="rId53" Target="https://research.google/blog/turboquant-redefining-ai-efficiency-with-extreme-compression/" TargetMode="External" /><Relationship Type="http://schemas.openxmlformats.org/officeDocument/2006/relationships/hyperlink" Id="rId30" Target="https://research.google/blog/turboquant-redefining-ai-efficiency-with-extreme-compression/#:~:text=PolarQuant%20addresses%20the%20memory%20overhead,data%20normalization%20step%20because%20it" TargetMode="External" /><Relationship Type="http://schemas.openxmlformats.org/officeDocument/2006/relationships/hyperlink" Id="rId51" Target="https://venturebeat.com/infrastructure/googles-new-turboquant-algorithm-speeds-up-ai-memory-8x-cutting-costs-by-50" TargetMode="External" /><Relationship Type="http://schemas.openxmlformats.org/officeDocument/2006/relationships/hyperlink" Id="rId31" Target="https://venturebeat.com/infrastructure/googles-new-turboquant-algorithm-speeds-up-ai-memory-8x-cutting-costs-by-50#:~:text=In%20testing%20across%20open,factor%20of%20at%20least%206x" TargetMode="External" /><Relationship Type="http://schemas.openxmlformats.org/officeDocument/2006/relationships/hyperlink" Id="rId25" Target="https://venturebeat.com/infrastructure/googles-new-turboquant-algorithm-speeds-up-ai-memory-8x-cutting-costs-by-50#:~:text=software,models%20by%20more%20than%2050" TargetMode="External" /></Relationships>
</file>

<file path=word/_rels/footnotes.xml.rels><?xml version="1.0" encoding="UTF-8"?><Relationships xmlns="http://schemas.openxmlformats.org/package/2006/relationships"><Relationship Type="http://schemas.openxmlformats.org/officeDocument/2006/relationships/hyperlink" Id="rId48" Target="https://ar5iv.labs.arxiv.org/html/2504.19874" TargetMode="External" /><Relationship Type="http://schemas.openxmlformats.org/officeDocument/2006/relationships/hyperlink" Id="rId32" Target="https://ar5iv.labs.arxiv.org/html/2504.19874#:~:text=Furthermore%2C%20in%20nearest%20neighbor%20search,indexing%20time%20to%20virtually%20zero" TargetMode="External" /><Relationship Type="http://schemas.openxmlformats.org/officeDocument/2006/relationships/hyperlink" Id="rId27" Target="https://ar5iv.labs.arxiv.org/html/2504.19874#:~:text=The%20core%20of%20TurboQuant%20is,means%20problem.%20This%20method%20gives" TargetMode="External" /><Relationship Type="http://schemas.openxmlformats.org/officeDocument/2006/relationships/hyperlink" Id="rId24" Target="https://ar5iv.labs.arxiv.org/html/2504.19874#:~:text=factor,indexing%20time%20to%20virtually%20zero" TargetMode="External" /><Relationship Type="http://schemas.openxmlformats.org/officeDocument/2006/relationships/hyperlink" Id="rId29" Target="https://ar5iv.labs.arxiv.org/html/2504.19874#:~:text=optimal%20quantizer%20starts%20by%20randomly,optimal%20distortion%20bounds%20for%20both" TargetMode="External" /><Relationship Type="http://schemas.openxmlformats.org/officeDocument/2006/relationships/hyperlink" Id="rId21" Target="https://ar5iv.labs.arxiv.org/html/2504.19874#:~:text=optimal%20scalar%20quantizers%20per%20each,5%20bits%20per%20channel" TargetMode="External" /><Relationship Type="http://schemas.openxmlformats.org/officeDocument/2006/relationships/hyperlink" Id="rId49" Target="https://arxiv.org/abs/2502.02617" TargetMode="External" /><Relationship Type="http://schemas.openxmlformats.org/officeDocument/2006/relationships/hyperlink" Id="rId22" Target="https://arxiv.org/abs/2502.02617#:~:text=step%20required%20by%20traditional%20quantization,art%20methods" TargetMode="External" /><Relationship Type="http://schemas.openxmlformats.org/officeDocument/2006/relationships/hyperlink" Id="rId52" Target="https://dejan.ai/blog/turboquant/" TargetMode="External" /><Relationship Type="http://schemas.openxmlformats.org/officeDocument/2006/relationships/hyperlink" Id="rId40" Target="https://dejan.ai/blog/turboquant/#:~:text=Cosine%20similarity%20between%20the%20kernel,The%20kernel%20is%20numerically%20exact" TargetMode="External" /><Relationship Type="http://schemas.openxmlformats.org/officeDocument/2006/relationships/hyperlink" Id="rId28" Target="https://dejan.ai/blog/turboquant/#:~:text=Stage%201%20%E2%80%94%20Random%20rotation,Just%20rotate%20and%20quantize" TargetMode="External" /><Relationship Type="http://schemas.openxmlformats.org/officeDocument/2006/relationships/hyperlink" Id="rId36" Target="https://dejan.ai/blog/turboquant/#:~:text=Stage%202%20%E2%80%94%20QJL%20residual,more%20on%20that%20later" TargetMode="External" /><Relationship Type="http://schemas.openxmlformats.org/officeDocument/2006/relationships/hyperlink" Id="rId33" Target="https://dejan.ai/blog/turboquant/#:~:text=The%20theoretical%20backing%20is%20strong%3A,that%E2%80%99s%20essentially%20optimal" TargetMode="External" /><Relationship Type="http://schemas.openxmlformats.org/officeDocument/2006/relationships/hyperlink" Id="rId26" Target="https://dejan.ai/blog/turboquant/#:~:text=accepted%20at%20ICLR%202026,8x%20speedup%20on%20H100%20GPUs" TargetMode="External" /><Relationship Type="http://schemas.openxmlformats.org/officeDocument/2006/relationships/hyperlink" Id="rId39" Target="https://github.com/0xSero/turboquant" TargetMode="External" /><Relationship Type="http://schemas.openxmlformats.org/officeDocument/2006/relationships/hyperlink" Id="rId54" Target="https://github.com/0xSero/turboquant/blob/main/README.md" TargetMode="External" /><Relationship Type="http://schemas.openxmlformats.org/officeDocument/2006/relationships/hyperlink" Id="rId35" Target="https://github.com/0xSero/turboquant/blob/main/README.md#:~:text=Metric%20Baseline%20,7.0" TargetMode="External" /><Relationship Type="http://schemas.openxmlformats.org/officeDocument/2006/relationships/hyperlink" Id="rId50" Target="https://par.nsf.gov/servlets/purl/10644417" TargetMode="External" /><Relationship Type="http://schemas.openxmlformats.org/officeDocument/2006/relationships/hyperlink" Id="rId23" Target="https://par.nsf.gov/servlets/purl/10644417#:~:text=The%20inner%20product%20of%20the,of%20the%20quantized%20vector%20with" TargetMode="External" /><Relationship Type="http://schemas.openxmlformats.org/officeDocument/2006/relationships/hyperlink" Id="rId53" Target="https://research.google/blog/turboquant-redefining-ai-efficiency-with-extreme-compression/" TargetMode="External" /><Relationship Type="http://schemas.openxmlformats.org/officeDocument/2006/relationships/hyperlink" Id="rId30" Target="https://research.google/blog/turboquant-redefining-ai-efficiency-with-extreme-compression/#:~:text=PolarQuant%20addresses%20the%20memory%20overhead,data%20normalization%20step%20because%20it" TargetMode="External" /><Relationship Type="http://schemas.openxmlformats.org/officeDocument/2006/relationships/hyperlink" Id="rId51" Target="https://venturebeat.com/infrastructure/googles-new-turboquant-algorithm-speeds-up-ai-memory-8x-cutting-costs-by-50" TargetMode="External" /><Relationship Type="http://schemas.openxmlformats.org/officeDocument/2006/relationships/hyperlink" Id="rId31" Target="https://venturebeat.com/infrastructure/googles-new-turboquant-algorithm-speeds-up-ai-memory-8x-cutting-costs-by-50#:~:text=In%20testing%20across%20open,factor%20of%20at%20least%206x" TargetMode="External" /><Relationship Type="http://schemas.openxmlformats.org/officeDocument/2006/relationships/hyperlink" Id="rId25" Target="https://venturebeat.com/infrastructure/googles-new-turboquant-algorithm-speeds-up-ai-memory-8x-cutting-costs-by-50#:~:text=software,models%20by%20more%20than%205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2026-03-29T01:52:44Z</dcterms:created>
  <dcterms:modified xsi:type="dcterms:W3CDTF">2026-03-29T01:52:44Z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