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Integration of Candlestick Morphologies in Algorithmic Trading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alpha in financial markets relies heavily on the accurate classification and projection of historical price action into future probability distributions. Among the most enduring frameworks for analyzing price action is the Japanese candlestick chart, a visualization method that encodes the open, high, low, and close (OHLC) prices of an asset over a specific time interval. While traditionally utilized in discretionary trading, the quantification of candlestick patterns has become a critical area of research in machine learning and algorithmic trading. By transforming discrete visual heuristics into continuous mathematical vectors, algorithms can identify complex, non-linear relationships between intra-period market microstructure and future price trajectories.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analysis provides an exhaustive examination of candlestick morphologies, their psychological market implications, their quantitative encoding for machine learning architectures, and the topological considerations of distance metrics in high-dimensional vector spaces. Furthermore, this research applies these findings directly to the ongoing development of an autonomous financial prediction system utilizing historical analogue matching (System A). By diagnosing previous architectural failures—specifically the dimensional corruption caused by the deprecated regime feature vector—this report proposes a rigorous mathematical framework for integrating candlestick features into a K-Nearest Neighbours (KNN) analogue matching engine. The ultimate objective is to refine the predictive probability distributions and successfully bridge the remaining performance gap to achieve a positive Brier Skill Score (BSS).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Microstructure and Psychology of Candlestick Formations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candlestick encodes a dense amount of microstructural market data into a single geometric shape. Unlike simple line charts that map close-to-close returns, candlesticks capture the intra-period conflict between buying and selling pressures, revealing the dynamics of momentum, indecision, and price rejection.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Market prices do not move in frictionless vacuums; they are driven by the aggregate sentiment of market participants reacting to fundamental news, macroeconomic shifts, and algorithmic executions. Candlestick patterns emerge because human actions and reactions are patterned and continuously replicate over 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Anatomy of the Candlestick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structure of a candlestick is defined by four fundamental price points recorded during a specific trading interval: the Open (</w:t>
      </w:r>
      <w:r w:rsidDel="00000000" w:rsidR="00000000" w:rsidRPr="00000000">
        <w:rPr>
          <w:rFonts w:ascii="Google Sans" w:cs="Google Sans" w:eastAsia="Google Sans" w:hAnsi="Google Sans"/>
          <w:color w:val="1f1f1f"/>
        </w:rPr>
        <w:drawing>
          <wp:inline distB="19050" distT="19050" distL="19050" distR="19050">
            <wp:extent cx="145852" cy="233363"/>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45852" cy="233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High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Low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3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Close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morphological components of the candlestick are derived from the arithmetic relationships between these four variables. The primary structural elements are calculated as follows: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 Body"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3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net directional movement of the period. It captures the absolute difference between the opening and closing prices. A positive net movement (</w:t>
      </w:r>
      <w:r w:rsidDel="00000000" w:rsidR="00000000" w:rsidRPr="00000000">
        <w:rPr>
          <w:rFonts w:ascii="Google Sans" w:cs="Google Sans" w:eastAsia="Google Sans" w:hAnsi="Google Sans"/>
          <w:color w:val="1f1f1f"/>
        </w:rPr>
        <w:drawing>
          <wp:inline distB="19050" distT="19050" distL="19050" distR="19050">
            <wp:extent cx="536675" cy="230003"/>
            <wp:effectExtent b="0" l="0" r="0" t="0"/>
            <wp:docPr id="38"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36675" cy="230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traditionally visualized as a green or white body, signifying bullish momentum where buyers dominated the session's conclusion. Conversely, a negative net movement (</w:t>
      </w:r>
      <w:r w:rsidDel="00000000" w:rsidR="00000000" w:rsidRPr="00000000">
        <w:rPr>
          <w:rFonts w:ascii="Google Sans" w:cs="Google Sans" w:eastAsia="Google Sans" w:hAnsi="Google Sans"/>
          <w:color w:val="1f1f1f"/>
        </w:rPr>
        <w:drawing>
          <wp:inline distB="19050" distT="19050" distL="19050" distR="19050">
            <wp:extent cx="536675" cy="230003"/>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36675" cy="230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visualized as a red or black body, indicating bearish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representation is simply the absolute value of the open-close spread.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Range"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4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absolute volatility or true range of the trading period, spanning the highest premium paid to the lowest discount accepted by the market.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8"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"Upper Shadow" or "Upper Wick" (</w:t>
      </w:r>
      <w:r w:rsidDel="00000000" w:rsidR="00000000" w:rsidRPr="00000000">
        <w:rPr>
          <w:rFonts w:ascii="Google Sans" w:cs="Google Sans" w:eastAsia="Google Sans" w:hAnsi="Google Sans"/>
          <w:color w:val="1f1f1f"/>
        </w:rPr>
        <w:drawing>
          <wp:inline distB="19050" distT="19050" distL="19050" distR="19050">
            <wp:extent cx="257175" cy="228600"/>
            <wp:effectExtent b="0" l="0" r="0" t="0"/>
            <wp:docPr id="4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571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intra-period buying pressure that was subsequently rejected by sellers. It measures the distance between the period's highest price and the top of the real body. A long upper wick indicates that bulls attempted to drive the price substantially higher but were overwhelmed by distribution and selling pressure before the period closed.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22327"/>
            <wp:effectExtent b="0" l="0" r="0" t="0"/>
            <wp:docPr id="4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"Lower Shadow" or "Lower Wick" (</w:t>
      </w:r>
      <w:r w:rsidDel="00000000" w:rsidR="00000000" w:rsidRPr="00000000">
        <w:rPr>
          <w:rFonts w:ascii="Google Sans" w:cs="Google Sans" w:eastAsia="Google Sans" w:hAnsi="Google Sans"/>
          <w:color w:val="1f1f1f"/>
        </w:rPr>
        <w:drawing>
          <wp:inline distB="19050" distT="19050" distL="19050" distR="19050">
            <wp:extent cx="224284" cy="224284"/>
            <wp:effectExtent b="0" l="0" r="0" t="0"/>
            <wp:docPr id="4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24284" cy="224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intra-period selling pressure that was subsequently rejected by buyers. It measures the distance between the period's lowest price and the bottom of the real body. A protracted lower wick suggests that localized capitulation occurred, but demand-side absorption aggressively bid the price back up prior to the close.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22327"/>
            <wp:effectExtent b="0" l="0" r="0" t="0"/>
            <wp:docPr id="51"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numerical values of these components are significantly less informative than their relative proportions. For instance, a high total range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5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combined with an exceptionally small real body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5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high localized volatility but extreme market indecision, as neither buyers nor sellers could secure a directional victory. Conversely, a real body that approximates the total range (</w:t>
      </w:r>
      <w:r w:rsidDel="00000000" w:rsidR="00000000" w:rsidRPr="00000000">
        <w:rPr>
          <w:rFonts w:ascii="Google Sans" w:cs="Google Sans" w:eastAsia="Google Sans" w:hAnsi="Google Sans"/>
          <w:color w:val="1f1f1f"/>
        </w:rPr>
        <w:drawing>
          <wp:inline distB="19050" distT="19050" distL="19050" distR="19050">
            <wp:extent cx="536525" cy="229939"/>
            <wp:effectExtent b="0" l="0" r="0" t="0"/>
            <wp:docPr id="57"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36525" cy="229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absolute, uncontested control by one side of the market order book.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of Canonical Candlestick Patterns and Trade Execution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 technical analysis has identified numerous recurring candlestick patterns that signal either the continuation of a prevailing trend or its imminent reversal. While comprehensive encyclopedias catalog over 100 distinct candlestick patterns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empirical research in machine learning applications frequently isolates a core subset of highly predictive morphologies.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utility of these patterns lies not merely in their identification, but in how they dictate trade execution logic, risk management, and stop-loss placement. The following table delineates the most statistically significant candlestick patterns utilized in algorithmic recognition models, outlining their morphological structures, theoretical psychological drivers, and standard execution protocols.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Pattern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Psychology &amp; Theoretical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Strategy &amp; Risk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Bullish Engulfing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two-candle reversal pattern. A small bearish body is followed by a large bullish body that completely eclipses the vertical range of the previous body.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 sudden and overwhelming influx of buying pressure, entirely negating the previous period's bearish sentiment. It indicates a capitulation of sellers.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Executed as a long entry upon the close of the bullish candle, provided it occurs at an established support level. Stop-loss is strictly placed below the low of the engulfing candle.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Bearish Engulfing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two-candle reversal pattern. A small bullish body is followed by a large bearish body that eclipses the previous bullish body.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that bulls have exhausted their momentum, and sellers have seized complete control of the order book, forcing long liquidations.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Executed as a short entry or a long-exit (profit-taking) signal when formed at resistance. Stop-loss is placed immediately above the high of the engulfing candle.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Doji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69850" cy="201364"/>
                  <wp:effectExtent b="0" l="0" r="0" t="0"/>
                  <wp:docPr id="58"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69850" cy="2013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resulting in a negligible real body. The lengths of the upper and lower wicks can vary significantly.</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Reflects perfect equilibrium between supply and demand. Denotes extreme indecision and a potential exhaustion of the prevailing macro trend.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Treated as an early warning signal. Execution requires confirmation from the subsequent trading period to dictate the breakout direction.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Hammer / Pin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single-candle reversal. Characterized by a small real body at the top of the total range, with a long lower wick (</w:t>
            </w:r>
            <w:r w:rsidDel="00000000" w:rsidR="00000000" w:rsidRPr="00000000">
              <w:rPr>
                <w:rFonts w:ascii="Google Sans" w:cs="Google Sans" w:eastAsia="Google Sans" w:hAnsi="Google Sans"/>
                <w:color w:val="1f1f1f"/>
                <w:shd w:fill="auto" w:val="clear"/>
              </w:rPr>
              <w:drawing>
                <wp:inline distB="19050" distT="19050" distL="19050" distR="19050">
                  <wp:extent cx="577900" cy="198949"/>
                  <wp:effectExtent b="0" l="0" r="0" t="0"/>
                  <wp:docPr id="5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7900" cy="1989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minimal upper wick.</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Aggressive selling at the open was violently rejected by buyers, pushing the price back to near the high. Indicates strong underlying demand.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 entries are triggered upon the close of the hammer, specifically after a prolonged downtrend. Stop-loss logic relies on placing the exit just below the extreme low of the long wick.</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Shooting 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single-candle bearish reversal. A small real body at the bottom of the range with a long upper wick (</w:t>
            </w:r>
            <w:r w:rsidDel="00000000" w:rsidR="00000000" w:rsidRPr="00000000">
              <w:rPr>
                <w:rFonts w:ascii="Google Sans" w:cs="Google Sans" w:eastAsia="Google Sans" w:hAnsi="Google Sans"/>
                <w:color w:val="1f1f1f"/>
                <w:shd w:fill="auto" w:val="clear"/>
              </w:rPr>
              <w:drawing>
                <wp:inline distB="19050" distT="19050" distL="19050" distR="19050">
                  <wp:extent cx="606623" cy="199048"/>
                  <wp:effectExtent b="0" l="0" r="0" t="0"/>
                  <wp:docPr id="6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606623" cy="1990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minimal lower wick.</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Buying pressure attempted to push the asset to new highs but encountered massive distribution, resulting in a lower close.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 entries are triggered upon the close, primarily after extended uptrends. Risk management dictates a stop-loss directly above the upper wick.</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Morning 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three-candle bullish reversal. A long bearish candle is followed by a small-bodied candle (or Doji) gapping down, which is then followed by a long bullish candle closing well into the first candle's body.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initial selling pressure stalls into indecision during the second period, followed by a violent bullish structural shift in the third period.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high-probability long entry. Stop-loss is positioned below the lowest point of the middle (star) candle to protect against false reversals.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 White Soldiers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three-candle bullish continuation. Three consecutive long bullish bodies with small wicks, each opening within the previous body and closing progressively higher.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a sustained, methodical advance characterized by relentless buying pressure and minimal intra-period retracements.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to aggressively scale into existing long positions or confirm a macro trend structural break. Stop-losses trail the lowest point of the three-candle sequence.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 Black Crows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three-candle bearish continuation. Three consecutive long bearish bodies, opening within the previous real body and closing progressively lower with minimal wicks.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sustained capitulation and liquidation, with sellers dominating every phase of the trading sessions without relief rallies.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aggressive short-selling or the total liquidation of long portfolios. Stop-losses are trailed above the highest point of the formation.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Marubozu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single candle featuring a long real body with absolutely no upper or lower shadows (</w:t>
            </w:r>
            <w:r w:rsidDel="00000000" w:rsidR="00000000" w:rsidRPr="00000000">
              <w:rPr>
                <w:rFonts w:ascii="Google Sans" w:cs="Google Sans" w:eastAsia="Google Sans" w:hAnsi="Google Sans"/>
                <w:color w:val="1f1f1f"/>
                <w:shd w:fill="auto" w:val="clear"/>
              </w:rPr>
              <w:drawing>
                <wp:inline distB="19050" distT="19050" distL="19050" distR="19050">
                  <wp:extent cx="469403" cy="201173"/>
                  <wp:effectExtent b="0" l="0" r="0" t="0"/>
                  <wp:docPr id="2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69403" cy="2011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absolute, uncontested dominance by either buyers (bullish Marubozu) or sellers (bearish Marubozu) from the exact open to the exact close.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Signals extreme momentum. Traders execute in the direction of the Marubozu, often utilizing the midpoint of the long real body as a dynamic support/resistance level.</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patterns provide theoretical execution signals, their raw predictive power in strict isolation is notoriously low. Academic research indicates that isolated candlestick patterns suffer from high false-positive rates when stripped of broader market context, such as volume expansion, established macro trends, and interactions with macro support and resistance levels.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example, a bullish engulfing pattern occurring in the middle of a consolidation range has minimal predictive power, whereas the exact same morphology occurring at a multi-year support level accompanied by a volume spike carries immense statistical significance.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the modern algorithmic application of candlestick patterns relies not on discrete visual identification by human operators, but on quantitative encoding and sophisticated machine learning optimization.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Discrete Categorization: The 13-Class and 8-Trigram Frameworks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pursuit of standardizing candlestick analysis for computational models, researchers have developed formalized categorization schemas that abstract visual shapes into discrete numerical states. The most prominent of these frameworks is the Pattern Recognition Model using Machine Learning (PRML), advanced extensively by Lin et al. (2021).</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13-Class Daily Candlestick Definition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layer of the PRML framework involves the rigorous classification of single-day candlesticks into 13 distinct classes based on the fundamental mathematical permutations of the opening, high, low, and closing prices.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defining strict arithmetic boundaries for the relationships between the real body and the upper and lower shadows, the model forces every daily trading session into one of 13 specific morphological states.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discretization effectively dimension-reduces the infinite variability of raw OHLC data into a finite categorical space. Within algorithmic trading engines, this allows decision trees, random forests, and gradient boosting algorithms to evaluate historical states categorically.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while single-day patterns capture immediate momentum, they fail to contextualize the inter-day transitions that often dictate broader market shifts.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8-Trigram (Bagua) Inter-Day Classification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capture multi-day sentiment transitions, Lin et al. (2021) integrated a novelty feature engineering scheme known as the "eight-trigram" or "Bagua" classification for two-day candlestick sequences.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Conceptually rooted in Taoist cosmology but strictly mathematical in its financial application, this scheme categorizes inter-day price movements into eight specific segments based on the relative spatial location of today's price range compared to yesterday's K-line pattern.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logic of the eight-trigram scheme is to quantify the overnight sentiment accumulation and the subsequent trading day's structural momentum.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Relative to yesterday's closing price, the opening position of the current day reflects the net accumulation of market sentiment during non-trading hours (e.g., overnight gaps caused by earnings reports or macroeconomic data releases).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mapping how the new trading session's high, low, open, and close interact with the previous session's high and low boundaries, the algorithm assigns a state from 1 to 8.</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combinatorial approach yielded a total of 169 possible two-day candlestick states (combining the 13 single-day classes with the sequential logic).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Empirical evaluations of this framework across the Chinese stock market demonstrated that the two-day candlestick patterns possessed significantly higher predictive capabilities than single-day patterns, achieving prediction accuracies exceeding 60% when paired with ensemble machine learning techniques like Random Forest (RF) and Gradient Boosting Decision Trees (GBDT).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framework further established that combining these categorical pattern identifiers with momentum-based technical indicators drastically improved short-term stock forecasting.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discrete classification frameworks like the 13-class and 8-trigram models excel in decision-tree-based algorithms, they introduce severe mathematical incompatibilities when applied to distance-based algorithms, a topological conflict that will be analyzed in detail regarding System A's architecture.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Encoding Modalities for Price Action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harness the predictive power of candlestick patterns across diverse machine learning architectures—ranging from deep neural networks to nearest-neighbour search algorithms—raw OHLC time-series data must be translated into mathematically digestible feature vectors. The academic literature presents three primary modalities for this transformation: spatial/image encoding, continuous proportional scaling, and intra-bar temporal feature engineering.</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and Image-Based Encoding (GAF and CNNs)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radical advancement in candlestick pattern recognition involves abandoning numerical time-series analysis entirely in favor of computer vision techniques. Algorithms such as Convolutional Neural Networks (CNNs) and You Only Look Once (YOLO) object detection models are highly adept at identifying complex spatial geometries, making them theoretically ideal for visual chart analysis.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this, researchers utilize the Gramian Angular Field (GAF) algorithm, which converts raw one-dimensional time-series data into polar coordinate representations, subsequently transforming them into a two-dimensional matrix or image.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standard GAF transformations utilize a symmetric cosine function (Gramian Angular Summation Field or GASF).</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introduces a critical "symmetry problem" in financial applications: an aggressive upward price trend and an aggressive downward trend of the exact same magnitude will produce mathematically identical grayscale images.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dimensional collapse, quantitative researchers developed the "RGB-GAF" transformation. This method stacks the cosine version (GASF) and the sine version (Gramian Angular Difference Field or GADF) into a multi-channel RGB image.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RGB scales differentiate bullish and bearish trends using distinct color gradients, allowing the CNN to distinguish between upward and downward movements of identical magnitude.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overcome the persistent challenge of limited labeled training data in financial markets, pipelines employing ARIMA (AutoRegressive Integrated Moving Average) modeling are used to extrapolate and augment synthetic chart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augmented data is auto-labeled via moving windows, generating massive training sets for YOLO-LITE detection models. Such models have achieved average accuracies ranging from 88% to over 90% in detecting canonical candlestick patterns directly from visual chart representations.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Proportional Scaling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computer vision is highly effective for discrete pattern labeling, it is computationally expensive and difficult to integrate alongside traditional numerical features like moving averages or macro-economic data. To maintain a purely numerical dataset while escaping the rigid boundaries of categorical labels, continuous encoding breaks the candlestick down into a vector of standardized ratios.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normalizes the intra-period volatility and entirely eliminates absolute price dependencies. Consequently, a highly volatile penny stock and a stable mega-cap tech stock can be compared symmetrically based purely on their microstructural geometry. A standard continuous encoding schema extracts a series of core ratios from the four inferred variables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2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2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7175" cy="228600"/>
            <wp:effectExtent b="0" l="0" r="0" t="0"/>
            <wp:docPr id="2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571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4284" cy="224284"/>
            <wp:effectExtent b="0" l="0" r="0" t="0"/>
            <wp:docPr id="25"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24284" cy="224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Body Size to Total Range (</w:t>
      </w:r>
      <w:r w:rsidDel="00000000" w:rsidR="00000000" w:rsidRPr="00000000">
        <w:rPr>
          <w:rFonts w:ascii="Google Sans" w:cs="Google Sans" w:eastAsia="Google Sans" w:hAnsi="Google Sans"/>
          <w:color w:val="1f1f1f"/>
        </w:rPr>
        <w:drawing>
          <wp:inline distB="19050" distT="19050" distL="19050" distR="19050">
            <wp:extent cx="382935" cy="229761"/>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82935" cy="22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Upper Wick to Total Range (</w:t>
      </w:r>
      <w:r w:rsidDel="00000000" w:rsidR="00000000" w:rsidRPr="00000000">
        <w:rPr>
          <w:rFonts w:ascii="Google Sans" w:cs="Google Sans" w:eastAsia="Google Sans" w:hAnsi="Google Sans"/>
          <w:color w:val="1f1f1f"/>
        </w:rPr>
        <w:drawing>
          <wp:inline distB="19050" distT="19050" distL="19050" distR="19050">
            <wp:extent cx="490835" cy="226539"/>
            <wp:effectExtent b="0" l="0" r="0" t="0"/>
            <wp:docPr id="2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90835" cy="226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Lower Wick to Total Range (</w:t>
      </w:r>
      <w:r w:rsidDel="00000000" w:rsidR="00000000" w:rsidRPr="00000000">
        <w:rPr>
          <w:rFonts w:ascii="Google Sans" w:cs="Google Sans" w:eastAsia="Google Sans" w:hAnsi="Google Sans"/>
          <w:color w:val="1f1f1f"/>
        </w:rPr>
        <w:drawing>
          <wp:inline distB="19050" distT="19050" distL="19050" distR="19050">
            <wp:extent cx="457944" cy="228972"/>
            <wp:effectExtent b="0" l="0" r="0" t="0"/>
            <wp:docPr id="2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57944" cy="228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Body Size to Upper Wick Length (</w:t>
      </w:r>
      <w:r w:rsidDel="00000000" w:rsidR="00000000" w:rsidRPr="00000000">
        <w:rPr>
          <w:rFonts w:ascii="Google Sans" w:cs="Google Sans" w:eastAsia="Google Sans" w:hAnsi="Google Sans"/>
          <w:color w:val="1f1f1f"/>
        </w:rPr>
        <w:drawing>
          <wp:inline distB="19050" distT="19050" distL="19050" distR="19050">
            <wp:extent cx="498723" cy="230180"/>
            <wp:effectExtent b="0" l="0" r="0" t="0"/>
            <wp:docPr id="29"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98723" cy="230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Body Size to Lower Wick Length (</w:t>
      </w:r>
      <w:r w:rsidDel="00000000" w:rsidR="00000000" w:rsidRPr="00000000">
        <w:rPr>
          <w:rFonts w:ascii="Google Sans" w:cs="Google Sans" w:eastAsia="Google Sans" w:hAnsi="Google Sans"/>
          <w:color w:val="1f1f1f"/>
        </w:rPr>
        <w:drawing>
          <wp:inline distB="19050" distT="19050" distL="19050" distR="19050">
            <wp:extent cx="465832" cy="228162"/>
            <wp:effectExtent b="0" l="0" r="0" t="0"/>
            <wp:docPr id="3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65832" cy="22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Directional Binary (1 if Bullish, -1 if Bearish)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representing the candlestick as a continuous mathematical vector bounded between defined limits (e.g., 0 to 1), machine learning models can process the exact morphological nuance of the trading period. An algorithm does not need to decide if a candle perfectly meets the arbitrary textbook definition of a "Hammer" pattern; instead, it processes a continuous spatial point indicating a lower wick that encompasses 85% of the total range and a body that encompasses 10%.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continuous geometry is vital for regression models and clustering algorithms.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Intra-Bar Temporal Feature Engineering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OHLC bars inherently destroy the sequential timing of price movements within the specified period. A bar simply states the highest and lowest prices achieved, but fails to indicate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they occurred relative to the open and close.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empirical studies, analyzing advanced intraday financial data products from Bloomberg, have investigated the impact of incorporating the exact timestamps of the open, high, low, and close prices within each bar.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By engineering features that encode the timing data—capturing whether the high occurred early in the session followed by a slow bleed, or if the high occurred in the final seconds of trading—researchers have demonstrated consistent improvements across multiple machine learning architectures.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inclusion of intra-bar timing features significantly lowers negative log-likelihood and mean squared error (MSE) while improving the directional accuracy of volume-weighted average price (VWAP) return forecasts.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highlights a frontier in feature engineering where the temporal dimension is reintegrated into the static candlestick geometry.</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Considerations for Nearest-Neighbour Search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non-parametric machine learning algorithms like K-Nearest Neighbours (KNN)—which form the foundational architecture of historical analogue matching systems—the choice of distance metric dictates the absolute geometry of the feature space. Consequently, the chosen metric is the primary determinant of the algorithm's predictive viability.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goal of KNN in financial forecasting is to identify the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historical data points that most closely resemble the current market state vector. The configuration of this search space requires strict topological discipline.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Euclidean Distance vs. Cosine Similarity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widely utilized metric in vector space calculations is the Euclidean distance (</w:t>
      </w:r>
      <w:r w:rsidDel="00000000" w:rsidR="00000000" w:rsidRPr="00000000">
        <w:rPr>
          <w:rFonts w:ascii="Google Sans" w:cs="Google Sans" w:eastAsia="Google Sans" w:hAnsi="Google Sans"/>
          <w:color w:val="1f1f1f"/>
        </w:rPr>
        <w:drawing>
          <wp:inline distB="19050" distT="19050" distL="19050" distR="19050">
            <wp:extent cx="431006" cy="22987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31006" cy="229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generalized Minkowski distance formula), which calculates the straight-line distance between two multi-dimensional points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1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1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5294"/>
            <wp:effectExtent b="0" l="0" r="0" t="0"/>
            <wp:docPr id="1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05500" cy="53529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Euclidean distance is highly effective for continuous, magnitude-sensitive data. It rigorously punishes large deviations in any single feature. However, because it calculates absolute squared differences, Euclidean distance is exceptionally sensitive to variables of disparate scales.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an algorithm attempts to match feature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ranges from 0 to 1) and feature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ranges from 0 to 1000), the variance in feature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overwhelmingly dominate the Euclidean sum, effectively blinding the model to feature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Thus, rigorous normalization—such as Min-Max scaling or Standard scaling—is an absolute mathematical prerequisite for Euclidean clustering.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Cosine Similarity measures the angular cosine between two non-zero vectors, completely ignoring their magnitude.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77735"/>
            <wp:effectExtent b="0" l="0" r="0" t="0"/>
            <wp:docPr id="20"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05500" cy="47773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effective in high-dimensional text classification (where word frequencies matter less than word presence), Cosine distance in financial time series frequently leads to geometric saturation. If multiple historical return vectors point in roughly the same directional quadrant, Cosine distance perceives them as identical, even if the absolute scale of the returns varies wildly. A sequence of +0.1% daily returns will show high cosine similarity to a sequence of +5.0% daily returns, leading to catastrophic mis-matches in volatility regimes.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Categorical Variable Trap in Euclidean Space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and frequently fatal limitation of Euclidean distance is its profound mathematical incompatibility with discrete categorical variables.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financial model attempts to use the 13-class discrete labels (e.g., 1 = Engulfing, 2 = Doji, 3 = Hammer) proposed by Lin et al. within a KNN framework, the distance calculation collapses into absurdity. Calculating the Euclidean distance between a Doji (class 2) and an Engulfing pattern (class 1) yields a numeric distance of 1. Calculating the distance between a Doji (class 2) and a completely unrelated Three Black Crows pattern (class 12) yields a distance of 10. This numeric calculation imposes a false spatial and ordinal relationship upon nominal categories, destroying the integrity of the nearest-neighbour search space.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integrate candlestick patterns into a Euclidean KNN framework safely, practitioners must strictly avoid discrete ordinal labels and instead utilize either binary one-hot encoding or, more effectively, continuous proportional scaling (the ratio method).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Diagnosis of System 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 is an autonomous algorithmic framework explicitly designed to predict future stock movements via historical analogue matching.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Rather than utilizing deep neural networks to approximate a generalized function, System A searches a massive historical database to find the moments in history that most closely resemble "today," and projects the historical outcomes of those specific analogues forward to generate a probability distribution. A meticulous analysis of the system's architecture, historical experiment logs, and evaluation metrics provides the critical foundation necessary for integrating advanced candlestick features.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Pipeline and Data Infrastructure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project documentation, System A operates on a comprehensive dataset comprising 25 years of daily OHLCV data across 52 major United States tickers, spanning six diverse sectors including Technology (e.g., AAPL, NVDA), Finance (JPM, GS), Healthcare, and broad market indices (SPY, QQQ).</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rigorous out-of-sample testing and prevent data leakage, the temporal split enforces a strict chronological boundary:</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Training Set</w:t>
      </w:r>
      <w:r w:rsidDel="00000000" w:rsidR="00000000" w:rsidRPr="00000000">
        <w:rPr>
          <w:rFonts w:ascii="Google Sans" w:cs="Google Sans" w:eastAsia="Google Sans" w:hAnsi="Google Sans"/>
          <w:color w:val="1f1f1f"/>
          <w:rtl w:val="0"/>
        </w:rPr>
        <w:t xml:space="preserve">: 2010-01-01 to 2023-12-31 (approximately 175,605 historical analogue rows)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Set</w:t>
      </w:r>
      <w:r w:rsidDel="00000000" w:rsidR="00000000" w:rsidRPr="00000000">
        <w:rPr>
          <w:rFonts w:ascii="Google Sans" w:cs="Google Sans" w:eastAsia="Google Sans" w:hAnsi="Google Sans"/>
          <w:color w:val="1f1f1f"/>
          <w:rtl w:val="0"/>
        </w:rPr>
        <w:t xml:space="preserve">: 2024-01-01 to 2024-12-31 (approximately 13,104 query rows)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 Set</w:t>
      </w:r>
      <w:r w:rsidDel="00000000" w:rsidR="00000000" w:rsidRPr="00000000">
        <w:rPr>
          <w:rFonts w:ascii="Google Sans" w:cs="Google Sans" w:eastAsia="Google Sans" w:hAnsi="Google Sans"/>
          <w:color w:val="1f1f1f"/>
          <w:rtl w:val="0"/>
        </w:rPr>
        <w:t xml:space="preserve">: 2025-01-01 to present (strictly held out).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prediction engine relies on a tightly coupled 4-step pipeline: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Feature Vector Generation</w:t>
      </w:r>
      <w:r w:rsidDel="00000000" w:rsidR="00000000" w:rsidRPr="00000000">
        <w:rPr>
          <w:rFonts w:ascii="Google Sans" w:cs="Google Sans" w:eastAsia="Google Sans" w:hAnsi="Google Sans"/>
          <w:color w:val="1f1f1f"/>
          <w:rtl w:val="0"/>
        </w:rPr>
        <w:t xml:space="preserve">: Computing the defining features for the target query state.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Nearest-Neighbour Search</w:t>
      </w:r>
      <w:r w:rsidDel="00000000" w:rsidR="00000000" w:rsidRPr="00000000">
        <w:rPr>
          <w:rFonts w:ascii="Google Sans" w:cs="Google Sans" w:eastAsia="Google Sans" w:hAnsi="Google Sans"/>
          <w:color w:val="1f1f1f"/>
          <w:rtl w:val="0"/>
        </w:rPr>
        <w:t xml:space="preserve">: Utilizing the ball_tree algorithm to locate the TOP_K = 50 most similar historical moments across the entire 15+ year database.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Forward Projection</w:t>
      </w:r>
      <w:r w:rsidDel="00000000" w:rsidR="00000000" w:rsidRPr="00000000">
        <w:rPr>
          <w:rFonts w:ascii="Google Sans" w:cs="Google Sans" w:eastAsia="Google Sans" w:hAnsi="Google Sans"/>
          <w:color w:val="1f1f1f"/>
          <w:rtl w:val="0"/>
        </w:rPr>
        <w:t xml:space="preserve">: Evaluating the actual forward returns of the historical analogues to generate an ensemble probability distribution for the target horizon. The primary target horizon is fwd_7d_up (a binary variable indicating if the price was higher 7 days later), which has empirically demonstrated the best evaluation metrics across all tested horizons.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Signal Generation</w:t>
      </w:r>
      <w:r w:rsidDel="00000000" w:rsidR="00000000" w:rsidRPr="00000000">
        <w:rPr>
          <w:rFonts w:ascii="Google Sans" w:cs="Google Sans" w:eastAsia="Google Sans" w:hAnsi="Google Sans"/>
          <w:color w:val="1f1f1f"/>
          <w:rtl w:val="0"/>
        </w:rPr>
        <w:t xml:space="preserve">: Generating a definitive BUY, SELL, or HOLD signal. This relies on a strict tri-filter logic requiring a minimum match count (MIN_MATCHES = 10), sufficient agreement spread (AGREEMENT_SPREAD = 0.10), and a rigid confidence threshold (CONFIDENCE_THRESHOLD = 0.65).</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computational stability, particularly addressing documented joblib deadlocks on Windows/Python 3.12 environments during chunked pairwise distance calculations, the pipeline is permanently locked to NN_JOBS = 1 while utilizing a batched query methodology (BATCH_SIZE = 256) to achieve 10-50x runtime speedups.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Metrics and the BSS Deficit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paramount evaluation metric for System A is the Brier Skill Score (BSS), a severe probabilistic scoring rule that punishes overconfidence and poor calibration. It is calculated 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BSS greater than zero indicates that the model outperforms a naive, base-rate climatological forecast, while a BSS greater than 0.05 is the threshold for being considered materially useful in live deployment.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System A is operating with a negative BSS, indicating it still marginally underperforms the base rate. The all-time best experiment ("Overnight Phase 1 - Platt Scaling") achieved a post-calibrated BSS of -0.00192, leaving a razor-thin gap of just 0.002 to break the zero barrier.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model achieves a promising binary accuracy of 58.6% on confident trades (accuracy_confident), the project documentation correctly notes that accuracy and BSS are orthogonal metrics.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model can boast 58% directional accuracy but simultaneously output poorly calibrated, overconfident probability extremes (e.g., predicting 99% probability when the true likelihood is 60%), resulting in a severely penalized, negative BSS. The immediate objective of the autoresearch loop is to bridge this final 0.002 BSS gap via intelligent feature engineering and calibration refinement. Walk-forward validation across 6 expanding folds (from 2019 to 2024) indicates moderate regime stability, though the 2022 bear market fold remains a structural weak point with an accuracy of only 49.7%.</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Geometry: The Failure of the 16-Feature Regime Vector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piece of architectural history for System A is the catastrophic failure of its previous 16-feature configuration. Initially, the system utilized a 16-feature vector consisting of 8 return features and 8 "regime" features, evaluated using Cosine distance.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architecture failed due to two fatal geometric flaws: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Distance Saturation</w:t>
      </w:r>
      <w:r w:rsidDel="00000000" w:rsidR="00000000" w:rsidRPr="00000000">
        <w:rPr>
          <w:rFonts w:ascii="Google Sans" w:cs="Google Sans" w:eastAsia="Google Sans" w:hAnsi="Google Sans"/>
          <w:color w:val="1f1f1f"/>
          <w:rtl w:val="0"/>
        </w:rPr>
        <w:t xml:space="preserve">: Diagnostic runs utilizing diagnose_distances.py revealed that under Cosine distance, a staggering 93.3% of all training vectors fell within a tight distance of 0.20 from any given query.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geometry of the feature space was entirely collapsed. Because Cosine similarity ignores vector magnitude, the distance filter became non-binding, effectively turning the KNN algorithm into a random sampler that retrieved 50 arbitrary analogues pointing in vaguely similar directions.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Catastrophic Feature Interference</w:t>
      </w:r>
      <w:r w:rsidDel="00000000" w:rsidR="00000000" w:rsidRPr="00000000">
        <w:rPr>
          <w:rFonts w:ascii="Google Sans" w:cs="Google Sans" w:eastAsia="Google Sans" w:hAnsi="Google Sans"/>
          <w:color w:val="1f1f1f"/>
          <w:rtl w:val="0"/>
        </w:rPr>
        <w:t xml:space="preserve">: When the full 16-feature vector was tested, it produced an abysmal BSS of approximately -0.135, performing roughly 3.5 times worse than ablation baselines.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8 supplementary regime features provided zero marginal value and aggressively corrupted the matching algorithm.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failure of the 16-feature regime vector points directly to the topological vulnerabilities of vector spaces discussed in prior sections: if the 8 regime features were categorical (violating Euclidean space) or exhibited extreme unscaled variance, they would irrevocably distort the distance calculations, blinding the model to the crucial return features.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AI agents executing the autoresearch loops pivoted System A to Euclidean distance utilizing an 8-feature "return-only" vector (ret_1d, ret_3d, ret_7d, ret_14d, ret_30d, ret_45d, ret_60d, ret_90d) with flat weights (all set to 1.0).</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configuration applies a strict normalized Euclidean distance ceiling (MAX_DISTANCE = 1.2457, representing the 25th percentile quantile) to filter matches, resulting in the project's current peak performance.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historical trajectory of System A's experiment sweeps: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Performance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Diagnostic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Distance, Inverse/Uniform weights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-0.029, AvgK =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Distance filter saturated. 93.3% of vectors within 0.20 cosine distance. Uniform weighting beat inverse.</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Micro-Distance + Euclidean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-0.0498, AvgK = 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Euclidean distance on return-only features definitively superior to Cosine.</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 Return-Only Fine 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-0.038, Acc = 58.6%, AvgK = 44.6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Discarded 8 regime features. Proven that BSS correlates with larger neighbourhoods (AvgK).</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 Return-Only + Platt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BSS = -0.00192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Platt scaling (cal_frac=0.50) successfully remapped raw probabilities, closing the BSS gap to 0.002.</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Weight Ablation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-0.038 (Raw)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Confirmed that hand-tuned feature weights hold zero marginal value over flat 1.0 weights.</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Integration: The Continuous Shape Vector for System 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transition to Euclidean distance and a return-only vector significantly salvaged System A (bringing the post-calibrated BSS from -0.135 to -0.00192)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relying strictly on close-to-close trailing returns leaves the model entirely blind to crucial intra-day microstructure.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System A analogue engine evaluates two historical vectors that both exhibit a ret_1d of +1.5% and a ret_3d of +2.0%, the Euclidean distance calculation treats them as mathematically nearly identical twins. However, market psychology dictates they may be fundamentally different: one vector may have achieved that +1.5% via a methodical, low-volatility climb indicating massive institutional accumulation (a Bullish Marubozu), while the other achieved it by gapping up 4% at the open, facing massive intraday liquidation, and closing near the absolute bottom of its daily range (a bearish Shooting Star).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entirely ignoring the shape of the candlestick, System A conflates structural accumulation with structural distribution. This aggregates conflicting microstructures into the same 50-analogue neighbourhood, which smears the resulting probability distribution for the fwd_7d_up target, stalling the BSS improvement.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push System A into positive BSS territory, candlestick morphologies must be mapped into the Euclidean space without triggering the dimensional corruption that doomed the previous 16-feature regime set.</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Formulation of the Continuous Shape Vector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seamlessly integrate into prepare.py and strategy.py without violating the mathematically sensitive Euclidean space, discrete pattern labels (e.g., "Class 1: Engulfing") must be entirely avoided to prevent the categorical variable trap.</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Instead, System A should augment the existing 8 return features with a 3-feature "Continuous Shape Vector" extracted strictly from the target day's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candlestick parameters.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candlestick variables are constructed as continuous proportional scalars:</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Body Dominance Ratio (</w:t>
      </w:r>
      <w:r w:rsidDel="00000000" w:rsidR="00000000" w:rsidRPr="00000000">
        <w:rPr>
          <w:rFonts w:ascii="Google Sans" w:cs="Google Sans" w:eastAsia="Google Sans" w:hAnsi="Google Sans"/>
          <w:b w:val="1"/>
          <w:bCs w:val="1"/>
          <w:color w:val="1f1f1f"/>
        </w:rPr>
        <w:drawing>
          <wp:inline distB="19050" distT="19050" distL="19050" distR="19050">
            <wp:extent cx="448419" cy="228980"/>
            <wp:effectExtent b="0" l="0" r="0" t="0"/>
            <wp:docPr id="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48419" cy="2289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33704"/>
            <wp:effectExtent b="0" l="0" r="0" t="0"/>
            <wp:docPr id="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05500" cy="43370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Domain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8866" cy="191007"/>
            <wp:effectExtent b="0" l="0" r="0" t="0"/>
            <wp:docPr id="5"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48866" cy="191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Implication</w:t>
      </w:r>
      <w:r w:rsidDel="00000000" w:rsidR="00000000" w:rsidRPr="00000000">
        <w:rPr>
          <w:rFonts w:ascii="Google Sans" w:cs="Google Sans" w:eastAsia="Google Sans" w:hAnsi="Google Sans"/>
          <w:color w:val="1f1f1f"/>
          <w:rtl w:val="0"/>
        </w:rPr>
        <w:t xml:space="preserve">: A positive value indicates a bullish close, while a negative value indicates a bearish close. The absolute magnitude indicates the dominance of the real body relative to the total intra-day volatility. A value of +1.0 represents a perfect Bullish Marubozu, while a value near 0 represents a Doji.</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Upper Rejection Ratio (</w:t>
      </w:r>
      <w:r w:rsidDel="00000000" w:rsidR="00000000" w:rsidRPr="00000000">
        <w:rPr>
          <w:rFonts w:ascii="Google Sans" w:cs="Google Sans" w:eastAsia="Google Sans" w:hAnsi="Google Sans"/>
          <w:b w:val="1"/>
          <w:bCs w:val="1"/>
          <w:color w:val="1f1f1f"/>
        </w:rPr>
        <w:drawing>
          <wp:inline distB="19050" distT="19050" distL="19050" distR="19050">
            <wp:extent cx="427434" cy="227965"/>
            <wp:effectExtent b="0" l="0" r="0" t="0"/>
            <wp:docPr id="6"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27434" cy="2279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5586"/>
            <wp:effectExtent b="0" l="0" r="0" t="0"/>
            <wp:docPr id="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05500" cy="4455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Domain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Implication</w:t>
      </w:r>
      <w:r w:rsidDel="00000000" w:rsidR="00000000" w:rsidRPr="00000000">
        <w:rPr>
          <w:rFonts w:ascii="Google Sans" w:cs="Google Sans" w:eastAsia="Google Sans" w:hAnsi="Google Sans"/>
          <w:color w:val="1f1f1f"/>
          <w:rtl w:val="0"/>
        </w:rPr>
        <w:t xml:space="preserve">: Captures top-side liquidity sweeps and aggressive seller defense. A high </w:t>
      </w:r>
      <w:r w:rsidDel="00000000" w:rsidR="00000000" w:rsidRPr="00000000">
        <w:rPr>
          <w:rFonts w:ascii="Google Sans" w:cs="Google Sans" w:eastAsia="Google Sans" w:hAnsi="Google Sans"/>
          <w:color w:val="1f1f1f"/>
        </w:rPr>
        <w:drawing>
          <wp:inline distB="19050" distT="19050" distL="19050" distR="19050">
            <wp:extent cx="427434" cy="227965"/>
            <wp:effectExtent b="0" l="0" r="0" t="0"/>
            <wp:docPr id="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27434" cy="22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&gt; 0.7) quantitatively identifies Shooting Star or Gravestone Doji morphologies without requiring rigid categorical if/then rules.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Lower Rejection Ratio (</w:t>
      </w:r>
      <w:r w:rsidDel="00000000" w:rsidR="00000000" w:rsidRPr="00000000">
        <w:rPr>
          <w:rFonts w:ascii="Google Sans" w:cs="Google Sans" w:eastAsia="Google Sans" w:hAnsi="Google Sans"/>
          <w:b w:val="1"/>
          <w:bCs w:val="1"/>
          <w:color w:val="1f1f1f"/>
        </w:rPr>
        <w:drawing>
          <wp:inline distB="19050" distT="19050" distL="19050" distR="19050">
            <wp:extent cx="406897" cy="227105"/>
            <wp:effectExtent b="0" l="0" r="0" t="0"/>
            <wp:docPr id="9"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06897" cy="22710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5586"/>
            <wp:effectExtent b="0" l="0" r="0" t="0"/>
            <wp:docPr id="10"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905500" cy="4455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Domain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Implication</w:t>
      </w:r>
      <w:r w:rsidDel="00000000" w:rsidR="00000000" w:rsidRPr="00000000">
        <w:rPr>
          <w:rFonts w:ascii="Google Sans" w:cs="Google Sans" w:eastAsia="Google Sans" w:hAnsi="Google Sans"/>
          <w:color w:val="1f1f1f"/>
          <w:rtl w:val="0"/>
        </w:rPr>
        <w:t xml:space="preserve">: Captures bottom-side support sweeps and buyer defense. A high </w:t>
      </w:r>
      <w:r w:rsidDel="00000000" w:rsidR="00000000" w:rsidRPr="00000000">
        <w:rPr>
          <w:rFonts w:ascii="Google Sans" w:cs="Google Sans" w:eastAsia="Google Sans" w:hAnsi="Google Sans"/>
          <w:color w:val="1f1f1f"/>
        </w:rPr>
        <w:drawing>
          <wp:inline distB="19050" distT="19050" distL="19050" distR="19050">
            <wp:extent cx="406897" cy="227105"/>
            <wp:effectExtent b="0" l="0" r="0" t="0"/>
            <wp:docPr id="3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06897" cy="227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isolates Hammer and Pin Bar 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Architectural Note: In edge cases where </w:t>
      </w:r>
      <w:r w:rsidDel="00000000" w:rsidR="00000000" w:rsidRPr="00000000">
        <w:rPr>
          <w:rFonts w:ascii="Google Sans" w:cs="Google Sans" w:eastAsia="Google Sans" w:hAnsi="Google Sans"/>
          <w:color w:val="1f1f1f"/>
        </w:rPr>
        <w:drawing>
          <wp:inline distB="19050" distT="19050" distL="19050" distR="19050">
            <wp:extent cx="539650" cy="227221"/>
            <wp:effectExtent b="0" l="0" r="0" t="0"/>
            <wp:docPr id="39"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39650" cy="227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zero volatility or a locked limit-up/down market state), all ratios must default to 0.0 within the Pandas dataframe to prevent fatal division-by-zero NaN poisoning, a bug historically flagged in the System A regression suite.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Safety and Local Normalization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elegance of this 3-feature shape vector is that all variables are strictly and natively bounded between -1 and +1. Because System A utilizes a local StandardScaler refitted inside _run_matching_loop on the train_db during feature overrides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bounded ratios will normalize flawlessly alongside the scaled ret_1d through ret_90d variables.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discarded regime features, which likely introduced unscaled variances that dominated the Euclidean sum of squares, the continuous candlestick ratios will act as mathematically orthogonal tie-breakers. When the ball_tree algorithm searches for the 50 nearest neighbours, the primary distance calculation will still be heavily anchored by the macro momentum of the 8 return windows. However, the </w:t>
      </w:r>
      <w:r w:rsidDel="00000000" w:rsidR="00000000" w:rsidRPr="00000000">
        <w:rPr>
          <w:rFonts w:ascii="Google Sans" w:cs="Google Sans" w:eastAsia="Google Sans" w:hAnsi="Google Sans"/>
          <w:color w:val="1f1f1f"/>
        </w:rPr>
        <w:drawing>
          <wp:inline distB="19050" distT="19050" distL="19050" distR="19050">
            <wp:extent cx="448419" cy="228980"/>
            <wp:effectExtent b="0" l="0" r="0" t="0"/>
            <wp:docPr id="40"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48419" cy="22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27434" cy="227965"/>
            <wp:effectExtent b="0" l="0" r="0" t="0"/>
            <wp:docPr id="42"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27434" cy="22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6897" cy="227105"/>
            <wp:effectExtent b="0" l="0" r="0" t="0"/>
            <wp:docPr id="45"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06897" cy="227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coordinates will fine-tune the final neighbourhood radius. The algorithm will ensure that a historical analogue matches both the multi-week macro momentum </w:t>
      </w:r>
      <w:r w:rsidDel="00000000" w:rsidR="00000000" w:rsidRPr="00000000">
        <w:rPr>
          <w:rFonts w:ascii="Google Sans" w:cs="Google Sans" w:eastAsia="Google Sans" w:hAnsi="Google Sans"/>
          <w:i w:val="1"/>
          <w:iCs w:val="1"/>
          <w:color w:val="1f1f1f"/>
          <w:rtl w:val="0"/>
        </w:rPr>
        <w:t xml:space="preserve">and</w:t>
      </w:r>
      <w:r w:rsidDel="00000000" w:rsidR="00000000" w:rsidRPr="00000000">
        <w:rPr>
          <w:rFonts w:ascii="Google Sans" w:cs="Google Sans" w:eastAsia="Google Sans" w:hAnsi="Google Sans"/>
          <w:color w:val="1f1f1f"/>
          <w:rtl w:val="0"/>
        </w:rPr>
        <w:t xml:space="preserve"> the specific intraday psychological microstructure of the query.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on the Brier Skill Score (BSS)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gap to a positive BSS is exactly 0.002.</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As established, BSS severely punishes poorly calibrated probability distributions. When System A groups fundamentally different market microstructures together (because they share the same close-to-close macro returns), the resulting probability distribution for fwd_7d_up becomes mathematically noisy. A cluster of analogues that includes both accumulation structures and distribution structures will naturally regress its forward probability toward a useless ~50% coin-flip.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filtering analogues through the Continuous Shape Vector, the resulting ensemble of 50 neighbours will exhibit substantially higher structural purity. A query featuring a massive upside rejection (</w:t>
      </w:r>
      <w:r w:rsidDel="00000000" w:rsidR="00000000" w:rsidRPr="00000000">
        <w:rPr>
          <w:rFonts w:ascii="Google Sans" w:cs="Google Sans" w:eastAsia="Google Sans" w:hAnsi="Google Sans"/>
          <w:color w:val="1f1f1f"/>
        </w:rPr>
        <w:drawing>
          <wp:inline distB="19050" distT="19050" distL="19050" distR="19050">
            <wp:extent cx="909042" cy="229653"/>
            <wp:effectExtent b="0" l="0" r="0" t="0"/>
            <wp:docPr id="47"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909042" cy="229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mathematically distance itself from historical instances of accumulation, matching only with historical instances that also experienced severe selling pressure. Consequently, the forward projection will yield a sharper, highly calibrated probability distribution.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purified analogue neighborhood is processed through the existing Platt Scaling calibration module (cal_frac = 0.50)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reduction in microstructural variance provides the exact mathematical leverage required to push the post-calibrated BSS above the 0.000 threshold.</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Revised Configuration for System A Integration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implementation, the System A Locked Settings documentation should be updated to reflect the new feature geometry. The following table dictates the proposed architectural adjustments: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(ball_tree)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(ball_tree)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required computational stability (n_jobs=1) on Windows while effectively processing continuous spatial coordinates.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Return-only (8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 + Shape (11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Adds vital microstructural dimensions without causing the Euclidean dimensional distortion observed in the failed regime vectors.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weights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bounding </w:t>
            </w:r>
            <w:r w:rsidDel="00000000" w:rsidR="00000000" w:rsidRPr="00000000">
              <w:rPr>
                <w:rFonts w:ascii="Google Sans" w:cs="Google Sans" w:eastAsia="Google Sans" w:hAnsi="Google Sans"/>
                <w:color w:val="1f1f1f"/>
                <w:shd w:fill="auto" w:val="clear"/>
              </w:rPr>
              <w:drawing>
                <wp:inline distB="19050" distT="19050" distL="19050" distR="19050">
                  <wp:extent cx="448866" cy="191007"/>
                  <wp:effectExtent b="0" l="0" r="0" t="0"/>
                  <wp:docPr id="50"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48866" cy="1910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eliminates the necessity for manual weight tuning, validating the findings from Overnight Phase 3.</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Platt cal_frac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0.60 - 0.70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 recommended in the Project Guide's Roadmap, expanding the calibration data fraction will directly synergize with the cleaner, shape-filtered raw probabilities.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MAX_DISTANCE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Re-calibration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addition of 3 new spatial dimensions will inherently expand the absolute Euclidean distances. A new distance geometry diagnostic must be run to calculate the new 25th percentile threshold.</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Roadmap Alignment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candlestick morphologies into System A represents a critical evolution from generalized macro-momentum matching to precision microstructural analysis. By transitioning from discrete, human-interpreted chart analysis to continuous geometric tensors, algorithmic prediction engines can systematically quantify and exploit human fear, greed, and capitulation.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integration while strictly adhering to the Hallucination Prevention Protocol (Section 11) and the TSV provenance requirements mandated by the project owner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following procedural roadmap must be initiated by the AI agents:</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Feature Construction (prepare.py)</w:t>
      </w:r>
      <w:r w:rsidDel="00000000" w:rsidR="00000000" w:rsidRPr="00000000">
        <w:rPr>
          <w:rFonts w:ascii="Google Sans" w:cs="Google Sans" w:eastAsia="Google Sans" w:hAnsi="Google Sans"/>
          <w:color w:val="1f1f1f"/>
          <w:rtl w:val="0"/>
        </w:rPr>
        <w:t xml:space="preserve">: Construct the continuous </w:t>
      </w:r>
      <w:r w:rsidDel="00000000" w:rsidR="00000000" w:rsidRPr="00000000">
        <w:rPr>
          <w:rFonts w:ascii="Google Sans" w:cs="Google Sans" w:eastAsia="Google Sans" w:hAnsi="Google Sans"/>
          <w:color w:val="1f1f1f"/>
        </w:rPr>
        <w:drawing>
          <wp:inline distB="19050" distT="19050" distL="19050" distR="19050">
            <wp:extent cx="448419" cy="228980"/>
            <wp:effectExtent b="0" l="0" r="0" t="0"/>
            <wp:docPr id="52"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48419" cy="22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27434" cy="227965"/>
            <wp:effectExtent b="0" l="0" r="0" t="0"/>
            <wp:docPr id="54"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27434" cy="22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6897" cy="227105"/>
            <wp:effectExtent b="0" l="0" r="0" t="0"/>
            <wp:docPr id="5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06897" cy="227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features within the data preparation script. Apply strict zero-division np.where guards to handle zero-volatility market days.</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Scaler Validation</w:t>
      </w:r>
      <w:r w:rsidDel="00000000" w:rsidR="00000000" w:rsidRPr="00000000">
        <w:rPr>
          <w:rFonts w:ascii="Google Sans" w:cs="Google Sans" w:eastAsia="Google Sans" w:hAnsi="Google Sans"/>
          <w:color w:val="1f1f1f"/>
          <w:rtl w:val="0"/>
        </w:rPr>
        <w:t xml:space="preserve">: Ensure the local StandardScaler instantiated inside _run_matching_loop is updated to flawlessly encompass the new 11-column feature matrix. This is critical to prevent a regression of the fatal shape-mismatch bugs (Bug #7) documented in prior builds.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Distance Geometry Diagnostic</w:t>
      </w:r>
      <w:r w:rsidDel="00000000" w:rsidR="00000000" w:rsidRPr="00000000">
        <w:rPr>
          <w:rFonts w:ascii="Google Sans" w:cs="Google Sans" w:eastAsia="Google Sans" w:hAnsi="Google Sans"/>
          <w:color w:val="1f1f1f"/>
          <w:rtl w:val="0"/>
        </w:rPr>
        <w:t xml:space="preserve">: Execute diagnose_distances.py over the new 11-feature space to print the updated quantile table. Identify the new normalized Euclidean distance ceiling to replace the archaic 1.2457 parameter.</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Continuous Overnight Loop (strategy_overnight.py)</w:t>
      </w:r>
      <w:r w:rsidDel="00000000" w:rsidR="00000000" w:rsidRPr="00000000">
        <w:rPr>
          <w:rFonts w:ascii="Google Sans" w:cs="Google Sans" w:eastAsia="Google Sans" w:hAnsi="Google Sans"/>
          <w:color w:val="1f1f1f"/>
          <w:rtl w:val="0"/>
        </w:rPr>
        <w:t xml:space="preserve">: Initiate an overnight ablation loop varying the feature weight of the 3 candlestick ratios from 0.0 to 1.0. This empirical run will generate the required results_analogue.tsv provenance to definitively prove their marginal value on the Brier Skill Score.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Platt Calibration Sweep</w:t>
      </w:r>
      <w:r w:rsidDel="00000000" w:rsidR="00000000" w:rsidRPr="00000000">
        <w:rPr>
          <w:rFonts w:ascii="Google Sans" w:cs="Google Sans" w:eastAsia="Google Sans" w:hAnsi="Google Sans"/>
          <w:color w:val="1f1f1f"/>
          <w:rtl w:val="0"/>
        </w:rPr>
        <w:t xml:space="preserve">: Following the confirmation of shape integration, execute the prioritized Platt cal_frac sweep (0.50 to 0.80) over the purified 11-feature vector to aggressively target the 0.002 BSS deficit.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System A, replacing the archaic assumption that all identical daily returns are structurally equal with a mathematically stable representation of candlestick microstructure is the optimal path forward. By filtering historical analogues through the lens of intra-period rejection and body dominance, the system can systematically eradicate noisy, conflicting distributions from its probability ensemble, finally transitioning the architecture from a negative-BSS baseline into a materially useful, regime-stable forecasting engine.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Candlestick Patterns Every Trader Should Know | IG International, accessed March 16, 2026, </w:t>
      </w:r>
      <w:hyperlink r:id="rId48">
        <w:r w:rsidDel="00000000" w:rsidR="00000000" w:rsidRPr="00000000">
          <w:rPr>
            <w:rFonts w:ascii="Google Sans" w:cs="Google Sans" w:eastAsia="Google Sans" w:hAnsi="Google Sans"/>
            <w:color w:val="0000ee"/>
            <w:sz w:val="24"/>
            <w:szCs w:val="24"/>
            <w:u w:val="single"/>
            <w:rtl w:val="0"/>
          </w:rPr>
          <w:t xml:space="preserve">https://www.ig.com/en/trading-strategies/16-candlestick-patterns-every-trader-should-know-180615</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Encoding candlesticks as images for pattern classification using convolutional neural networks - RePEc,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https://ideas.repec.org/a/spr/fininn/v6y2020i1d10.1186_s40854-020-00187-0.html</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[1901.05237] Encoding Candlesticks as Images for Patterns Classification Using Convolutional Neural Networks - arXiv.org,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https://arxiv.org/abs/1901.05237</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Forex Charts - FasterCapital,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https://fastercapital.com/topics/types-of-forex-charts.html/1</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Candlestick Patterns: The Updated Complete Guide (2025) - Morpher,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https://www.morpher.com/blog/candlestick-patterns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Artificial Intelligence Identifies Candlesticks - Logikfx,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https://www.logikfx.com/post/how-artificial-intelligence-identifies-candlesticks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Candlestick Charts for Intraday, F&amp;O and Trading - Groww,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https://groww.in/blog/how-to-read-candlestick-charts</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Encoding Candlesticks as Images for Patterns Classification Using Convolutional Neural Networks - Semantic Scholar, accessed March 16, 2026, </w:t>
      </w:r>
      <w:hyperlink r:id="rId55">
        <w:r w:rsidDel="00000000" w:rsidR="00000000" w:rsidRPr="00000000">
          <w:rPr>
            <w:rFonts w:ascii="Google Sans" w:cs="Google Sans" w:eastAsia="Google Sans" w:hAnsi="Google Sans"/>
            <w:color w:val="0000ee"/>
            <w:sz w:val="24"/>
            <w:szCs w:val="24"/>
            <w:u w:val="single"/>
            <w:rtl w:val="0"/>
          </w:rPr>
          <w:t xml:space="preserve">https://www.semanticscholar.org/paper/Encoding-Candlesticks-as-Images-for-Patterns-Using-Tsai-Chen/14de80238a423a8e1bf8f8b4152d355955d4650a</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Candlestick Patterns Detection with Limited Training Samples Using RGB Gramian Angular Field and YOLO-LITE-V1 - CS231n, accessed March 16, 2026, </w:t>
      </w:r>
      <w:hyperlink r:id="rId56">
        <w:r w:rsidDel="00000000" w:rsidR="00000000" w:rsidRPr="00000000">
          <w:rPr>
            <w:rFonts w:ascii="Google Sans" w:cs="Google Sans" w:eastAsia="Google Sans" w:hAnsi="Google Sans"/>
            <w:color w:val="0000ee"/>
            <w:sz w:val="24"/>
            <w:szCs w:val="24"/>
            <w:u w:val="single"/>
            <w:rtl w:val="0"/>
          </w:rPr>
          <w:t xml:space="preserve">https://cs231n.stanford.edu/reports/2022/pdfs/157.pdf</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Reversal Candlestick Patterns: What Is It and How to Trade with Bullish and Bearish Candlestick Patterns | Dukascopy Bank SA, accessed March 16, 2026, </w:t>
      </w:r>
      <w:hyperlink r:id="rId57">
        <w:r w:rsidDel="00000000" w:rsidR="00000000" w:rsidRPr="00000000">
          <w:rPr>
            <w:rFonts w:ascii="Google Sans" w:cs="Google Sans" w:eastAsia="Google Sans" w:hAnsi="Google Sans"/>
            <w:color w:val="0000ee"/>
            <w:sz w:val="24"/>
            <w:szCs w:val="24"/>
            <w:u w:val="single"/>
            <w:rtl w:val="0"/>
          </w:rPr>
          <w:t xml:space="preserve">https://www.dukascopy.com/swiss/english/marketwatch/articles/reversal-candlestick-patterns/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Candlestick Patterns 101: Introduction and Common Candlesticks &amp; Patterns | TrendSpider Blog, accessed March 16, 2026, </w:t>
      </w:r>
      <w:hyperlink r:id="rId58">
        <w:r w:rsidDel="00000000" w:rsidR="00000000" w:rsidRPr="00000000">
          <w:rPr>
            <w:rFonts w:ascii="Google Sans" w:cs="Google Sans" w:eastAsia="Google Sans" w:hAnsi="Google Sans"/>
            <w:color w:val="0000ee"/>
            <w:sz w:val="24"/>
            <w:szCs w:val="24"/>
            <w:u w:val="single"/>
            <w:rtl w:val="0"/>
          </w:rPr>
          <w:t xml:space="preserve">https://trendspider.com/blog/trading-candlestick-patterns-101-intro-common-candlesticks-patterns/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Candlestick Patterns for Beginners: 3 You Must Know (Engulfing, Pin Bar, Momentum), accessed March 16, 2026, </w:t>
      </w:r>
      <w:hyperlink r:id="rId59">
        <w:r w:rsidDel="00000000" w:rsidR="00000000" w:rsidRPr="00000000">
          <w:rPr>
            <w:rFonts w:ascii="Google Sans" w:cs="Google Sans" w:eastAsia="Google Sans" w:hAnsi="Google Sans"/>
            <w:color w:val="0000ee"/>
            <w:sz w:val="24"/>
            <w:szCs w:val="24"/>
            <w:u w:val="single"/>
            <w:rtl w:val="0"/>
          </w:rPr>
          <w:t xml:space="preserve">https://www.youtube.com/shorts/kQrC5LEoTbg</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Candlestick Patterns Explained in 60 Seconds, accessed March 16, 2026, </w:t>
      </w:r>
      <w:hyperlink r:id="rId60">
        <w:r w:rsidDel="00000000" w:rsidR="00000000" w:rsidRPr="00000000">
          <w:rPr>
            <w:rFonts w:ascii="Google Sans" w:cs="Google Sans" w:eastAsia="Google Sans" w:hAnsi="Google Sans"/>
            <w:color w:val="0000ee"/>
            <w:sz w:val="24"/>
            <w:szCs w:val="24"/>
            <w:u w:val="single"/>
            <w:rtl w:val="0"/>
          </w:rPr>
          <w:t xml:space="preserve">https://www.youtube.com/shorts/jZMnEKZLpTU</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Candlestick Pattern Guide You'll EVER FIND - YouTube, accessed March 16,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https://www.youtube.com/watch?v=m4WOwgUMQuc</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Machine Learning and Candlestick Patterns to Predict the Outcomes of American Football Games - MDPI, accessed March 16, 2026, </w:t>
      </w:r>
      <w:hyperlink r:id="rId62">
        <w:r w:rsidDel="00000000" w:rsidR="00000000" w:rsidRPr="00000000">
          <w:rPr>
            <w:rFonts w:ascii="Google Sans" w:cs="Google Sans" w:eastAsia="Google Sans" w:hAnsi="Google Sans"/>
            <w:color w:val="0000ee"/>
            <w:sz w:val="24"/>
            <w:szCs w:val="24"/>
            <w:u w:val="single"/>
            <w:rtl w:val="0"/>
          </w:rPr>
          <w:t xml:space="preserve">https://www.mdpi.com/2076-3417/10/13/4484</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stock trading decisions based on pattern recognition using machine learning technology - PMC, accessed March 16,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https://pmc.ncbi.nlm.nih.gov/articles/PMC8345893/</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Stacked Optimized Ensemble Machine Learning Model for Predicting Stock Trends through Candlestick Chart Analysis with Feature Engineering Approach - SSRG, accessed March 16, 2026, </w:t>
      </w:r>
      <w:hyperlink r:id="rId64">
        <w:r w:rsidDel="00000000" w:rsidR="00000000" w:rsidRPr="00000000">
          <w:rPr>
            <w:rFonts w:ascii="Google Sans" w:cs="Google Sans" w:eastAsia="Google Sans" w:hAnsi="Google Sans"/>
            <w:color w:val="0000ee"/>
            <w:sz w:val="24"/>
            <w:szCs w:val="24"/>
            <w:u w:val="single"/>
            <w:rtl w:val="0"/>
          </w:rPr>
          <w:t xml:space="preserve">https://www.internationaljournalssrg.org/IJECE/2024/Volume11-Issue6/IJECE-V11I6P107.pdf</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Trend Prediction Using Candlestick Charting and Ensemble Machine Learning Techniques With a Novelty Feature Engineering Scheme - ResearchGate, accessed March 16,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https://www.researchgate.net/publication/353477899_Stock_Trend_Prediction_Using_Candlestick_Charting_and_Ensemble_Machine_Learning_Techniques_With_a_Novelty_Feature_Engineering_Scheme</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Trend Prediction Using Candlestick Charting and Ensemble Machine Learning Techniques With a Novelty Feature Engineering Scheme - IEEE Xplore, accessed March 16, 2026, </w:t>
      </w:r>
      <w:hyperlink r:id="rId66">
        <w:r w:rsidDel="00000000" w:rsidR="00000000" w:rsidRPr="00000000">
          <w:rPr>
            <w:rFonts w:ascii="Google Sans" w:cs="Google Sans" w:eastAsia="Google Sans" w:hAnsi="Google Sans"/>
            <w:color w:val="0000ee"/>
            <w:sz w:val="24"/>
            <w:szCs w:val="24"/>
            <w:u w:val="single"/>
            <w:rtl w:val="0"/>
          </w:rPr>
          <w:t xml:space="preserve">https://ieeexplore.ieee.org/iel7/6287639/9312710/09481924.pdf</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market trend prediction using convolutional neural networks on Japanese candlestick patterns - PeerJ, accessed March 16, 2026, </w:t>
      </w:r>
      <w:hyperlink r:id="rId67">
        <w:r w:rsidDel="00000000" w:rsidR="00000000" w:rsidRPr="00000000">
          <w:rPr>
            <w:rFonts w:ascii="Google Sans" w:cs="Google Sans" w:eastAsia="Google Sans" w:hAnsi="Google Sans"/>
            <w:color w:val="0000ee"/>
            <w:sz w:val="24"/>
            <w:szCs w:val="24"/>
            <w:u w:val="single"/>
            <w:rtl w:val="0"/>
          </w:rPr>
          <w:t xml:space="preserve">https://peerj.com/articles/cs-2719.pdf</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used to extract features from candlestick charts in the stock market: a systematic review - DergiPark, accessed March 16, 2026, </w:t>
      </w:r>
      <w:hyperlink r:id="rId68">
        <w:r w:rsidDel="00000000" w:rsidR="00000000" w:rsidRPr="00000000">
          <w:rPr>
            <w:rFonts w:ascii="Google Sans" w:cs="Google Sans" w:eastAsia="Google Sans" w:hAnsi="Google Sans"/>
            <w:color w:val="0000ee"/>
            <w:sz w:val="24"/>
            <w:szCs w:val="24"/>
            <w:u w:val="single"/>
            <w:rtl w:val="0"/>
          </w:rPr>
          <w:t xml:space="preserve">https://dergipark.org.tr/en/download/article-file/3704724</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stock trading decisions based on pattern recognition using machine learning technology | PLOS One - Research journals, accessed March 16, 2026, </w:t>
      </w:r>
      <w:hyperlink r:id="rId6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https://journals.plos.org/plosone/article?id=10.1371/journal.pone.0255558</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market trend prediction using convolutional neural networks on Japanese candlestick patterns - PMC, accessed March 16,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https://pmc.ncbi.nlm.nih.gov/articles/PMC11935771/</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study of candlestick pattern &amp; identifying candlestick patterns using deep learning for the Indian stock market - ScienceScholar, accessed March 16, 2026, </w:t>
      </w:r>
      <w:hyperlink r:id="rId71">
        <w:r w:rsidDel="00000000" w:rsidR="00000000" w:rsidRPr="00000000">
          <w:rPr>
            <w:rFonts w:ascii="Google Sans" w:cs="Google Sans" w:eastAsia="Google Sans" w:hAnsi="Google Sans"/>
            <w:color w:val="0000ee"/>
            <w:sz w:val="24"/>
            <w:szCs w:val="24"/>
            <w:u w:val="single"/>
            <w:rtl w:val="0"/>
          </w:rPr>
          <w:t xml:space="preserve">https://sciencescholar.us/journal/index.php/ijhs/article/download/7230/3385/3534</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OHLC Data with Timing Features: A Machine Learning Evaluation, accessed March 16, 2026, </w:t>
      </w:r>
      <w:hyperlink r:id="rId72">
        <w:r w:rsidDel="00000000" w:rsidR="00000000" w:rsidRPr="00000000">
          <w:rPr>
            <w:rFonts w:ascii="Google Sans" w:cs="Google Sans" w:eastAsia="Google Sans" w:hAnsi="Google Sans"/>
            <w:color w:val="0000ee"/>
            <w:sz w:val="24"/>
            <w:szCs w:val="24"/>
            <w:u w:val="single"/>
            <w:rtl w:val="0"/>
          </w:rPr>
          <w:t xml:space="preserve">https://ideas.repec.org/p/arx/papers/2509.16137.html</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OHLC Data with Timing Features: A Machine Learning Evaluation - alphaXiv, accessed March 16, 2026, </w:t>
      </w:r>
      <w:hyperlink r:id="rId73">
        <w:r w:rsidDel="00000000" w:rsidR="00000000" w:rsidRPr="00000000">
          <w:rPr>
            <w:rFonts w:ascii="Google Sans" w:cs="Google Sans" w:eastAsia="Google Sans" w:hAnsi="Google Sans"/>
            <w:color w:val="0000ee"/>
            <w:sz w:val="24"/>
            <w:szCs w:val="24"/>
            <w:u w:val="single"/>
            <w:rtl w:val="0"/>
          </w:rPr>
          <w:t xml:space="preserve">https://www.alphaxiv.org/overview/2509.16137v1</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OHLC Data with Timing Features: A Machine Learning Evaluation - arXiv.org, accessed March 16, 2026, </w:t>
      </w:r>
      <w:hyperlink r:id="rId74">
        <w:r w:rsidDel="00000000" w:rsidR="00000000" w:rsidRPr="00000000">
          <w:rPr>
            <w:rFonts w:ascii="Google Sans" w:cs="Google Sans" w:eastAsia="Google Sans" w:hAnsi="Google Sans"/>
            <w:color w:val="0000ee"/>
            <w:sz w:val="24"/>
            <w:szCs w:val="24"/>
            <w:u w:val="single"/>
            <w:rtl w:val="0"/>
          </w:rPr>
          <w:t xml:space="preserve">https://arxiv.org/html/2509.16137v1</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Distance Metric Learning for Large Margin Nearest Neighbor Classification, accessed March 16, 2026, </w:t>
      </w:r>
      <w:hyperlink r:id="rId75">
        <w:r w:rsidDel="00000000" w:rsidR="00000000" w:rsidRPr="00000000">
          <w:rPr>
            <w:rFonts w:ascii="Google Sans" w:cs="Google Sans" w:eastAsia="Google Sans" w:hAnsi="Google Sans"/>
            <w:color w:val="0000ee"/>
            <w:sz w:val="24"/>
            <w:szCs w:val="24"/>
            <w:u w:val="single"/>
            <w:rtl w:val="0"/>
          </w:rPr>
          <w:t xml:space="preserve">https://jmlr.csail.mit.edu/papers/volume10/weinberger09a/weinberger09a.pdf</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K-nearest neighbors algorithm - Wikipedia, accessed March 16, 2026, </w:t>
      </w:r>
      <w:hyperlink r:id="rId76">
        <w:r w:rsidDel="00000000" w:rsidR="00000000" w:rsidRPr="00000000">
          <w:rPr>
            <w:rFonts w:ascii="Google Sans" w:cs="Google Sans" w:eastAsia="Google Sans" w:hAnsi="Google Sans"/>
            <w:color w:val="0000ee"/>
            <w:sz w:val="24"/>
            <w:szCs w:val="24"/>
            <w:u w:val="single"/>
            <w:rtl w:val="0"/>
          </w:rPr>
          <w:t xml:space="preserve">https://en.wikipedia.org/wiki/K-nearest_neighbors_algorithm</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K-Nearest Neighbors (KNN) | TrendSpider Learning Center, accessed March 16, 2026, </w:t>
      </w:r>
      <w:hyperlink r:id="rId77">
        <w:r w:rsidDel="00000000" w:rsidR="00000000" w:rsidRPr="00000000">
          <w:rPr>
            <w:rFonts w:ascii="Google Sans" w:cs="Google Sans" w:eastAsia="Google Sans" w:hAnsi="Google Sans"/>
            <w:color w:val="0000ee"/>
            <w:sz w:val="24"/>
            <w:szCs w:val="24"/>
            <w:u w:val="single"/>
            <w:rtl w:val="0"/>
          </w:rPr>
          <w:t xml:space="preserve">https://trendspider.com/learning-center/k-nearest-neighbors-knn/</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Popular Distance Metrics Used in KNN and When to Use Them - KDnuggets, accessed March 16, 2026, </w:t>
      </w:r>
      <w:hyperlink r:id="rId78">
        <w:r w:rsidDel="00000000" w:rsidR="00000000" w:rsidRPr="00000000">
          <w:rPr>
            <w:rFonts w:ascii="Google Sans" w:cs="Google Sans" w:eastAsia="Google Sans" w:hAnsi="Google Sans"/>
            <w:color w:val="0000ee"/>
            <w:sz w:val="24"/>
            <w:szCs w:val="24"/>
            <w:u w:val="single"/>
            <w:rtl w:val="0"/>
          </w:rPr>
          <w:t xml:space="preserve">https://www.kdnuggets.com/2020/11/most-popular-distance-metrics-knn.html</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Euclidean Distance, accessed March 16, 2026, </w:t>
      </w:r>
      <w:hyperlink r:id="rId79">
        <w:r w:rsidDel="00000000" w:rsidR="00000000" w:rsidRPr="00000000">
          <w:rPr>
            <w:rFonts w:ascii="Google Sans" w:cs="Google Sans" w:eastAsia="Google Sans" w:hAnsi="Google Sans"/>
            <w:color w:val="0000ee"/>
            <w:sz w:val="24"/>
            <w:szCs w:val="24"/>
            <w:u w:val="single"/>
            <w:rtl w:val="0"/>
          </w:rPr>
          <w:t xml:space="preserve">https://gis.cdc.gov/grasp/diabetes/data/tutorials/analysis/FAQ_ED_CDA.html</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Fundamentals of K-Nearest Neighbors: Normalization and Standardization | by Buya Al-Fariz | Medium, accessed March 16, 2026, </w:t>
      </w:r>
      <w:hyperlink r:id="rId80">
        <w:r w:rsidDel="00000000" w:rsidR="00000000" w:rsidRPr="00000000">
          <w:rPr>
            <w:rFonts w:ascii="Google Sans" w:cs="Google Sans" w:eastAsia="Google Sans" w:hAnsi="Google Sans"/>
            <w:color w:val="0000ee"/>
            <w:sz w:val="24"/>
            <w:szCs w:val="24"/>
            <w:u w:val="single"/>
            <w:rtl w:val="0"/>
          </w:rPr>
          <w:t xml:space="preserve">https://medium.com/@buyaalfariz/the-fundamentals-of-k-nearest-neighbors-normalization-and-standardization-a3e6ca616d57</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 The k-NN Algorithm | Market Segmentation &amp; Clustering - Bookdown, accessed March 16, 2026, </w:t>
      </w:r>
      <w:hyperlink r:id="rId81">
        <w:r w:rsidDel="00000000" w:rsidR="00000000" w:rsidRPr="00000000">
          <w:rPr>
            <w:rFonts w:ascii="Google Sans" w:cs="Google Sans" w:eastAsia="Google Sans" w:hAnsi="Google Sans"/>
            <w:color w:val="0000ee"/>
            <w:sz w:val="24"/>
            <w:szCs w:val="24"/>
            <w:u w:val="single"/>
            <w:rtl w:val="0"/>
          </w:rPr>
          <w:t xml:space="preserve">https://bookdown.org/robert_statmind/mmsc_test_01/the-k-nn-algorithm.html</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 to normalize in euclidean distance measures in hierarchical clustering, accessed March 16, 2026, </w:t>
      </w:r>
      <w:hyperlink r:id="rId82">
        <w:r w:rsidDel="00000000" w:rsidR="00000000" w:rsidRPr="00000000">
          <w:rPr>
            <w:rFonts w:ascii="Google Sans" w:cs="Google Sans" w:eastAsia="Google Sans" w:hAnsi="Google Sans"/>
            <w:color w:val="0000ee"/>
            <w:sz w:val="24"/>
            <w:szCs w:val="24"/>
            <w:u w:val="single"/>
            <w:rtl w:val="0"/>
          </w:rPr>
          <w:t xml:space="preserve">https://stats.stackexchange.com/questions/30317/reason-to-normalize-in-euclidean-distance-measures-in-hierarchical-clustering</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you need to scale data in KNN - Cross Validated, accessed March 16, 2026, </w:t>
      </w:r>
      <w:hyperlink r:id="rId83">
        <w:r w:rsidDel="00000000" w:rsidR="00000000" w:rsidRPr="00000000">
          <w:rPr>
            <w:rFonts w:ascii="Google Sans" w:cs="Google Sans" w:eastAsia="Google Sans" w:hAnsi="Google Sans"/>
            <w:color w:val="0000ee"/>
            <w:sz w:val="24"/>
            <w:szCs w:val="24"/>
            <w:u w:val="single"/>
            <w:rtl w:val="0"/>
          </w:rPr>
          <w:t xml:space="preserve">https://stats.stackexchange.com/questions/287425/why-do-you-need-to-scale-data-in-knn</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 479: Machine Learning Lecture Notes - Sebastian Raschka, accessed March 16, 2026, </w:t>
      </w:r>
      <w:hyperlink r:id="rId84">
        <w:r w:rsidDel="00000000" w:rsidR="00000000" w:rsidRPr="00000000">
          <w:rPr>
            <w:rFonts w:ascii="Google Sans" w:cs="Google Sans" w:eastAsia="Google Sans" w:hAnsi="Google Sans"/>
            <w:color w:val="0000ee"/>
            <w:sz w:val="24"/>
            <w:szCs w:val="24"/>
            <w:u w:val="single"/>
            <w:rtl w:val="0"/>
          </w:rPr>
          <w:t xml:space="preserve">https://sebastianraschka.com/pdf/lecture-notes/stat479fs19/02-knn__notes.pdf</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standardization or normalization of categorical features have any statistical validity for performing on machine learning models? | ResearchGate, accessed March 16, 2026, </w:t>
      </w:r>
      <w:hyperlink r:id="rId85">
        <w:r w:rsidDel="00000000" w:rsidR="00000000" w:rsidRPr="00000000">
          <w:rPr>
            <w:rFonts w:ascii="Google Sans" w:cs="Google Sans" w:eastAsia="Google Sans" w:hAnsi="Google Sans"/>
            <w:color w:val="0000ee"/>
            <w:sz w:val="24"/>
            <w:szCs w:val="24"/>
            <w:u w:val="single"/>
            <w:rtl w:val="0"/>
          </w:rPr>
          <w:t xml:space="preserve">https://www.researchgate.net/post/Does_standardization_or_normalization_of_categorical_features_have_any_statistical_validity_for_performing_on_machine_learning_models</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KNN classification with categorical data - Stack Overflow, accessed March 16, 2026, </w:t>
      </w:r>
      <w:hyperlink r:id="rId86">
        <w:r w:rsidDel="00000000" w:rsidR="00000000" w:rsidRPr="00000000">
          <w:rPr>
            <w:rFonts w:ascii="Google Sans" w:cs="Google Sans" w:eastAsia="Google Sans" w:hAnsi="Google Sans"/>
            <w:color w:val="0000ee"/>
            <w:sz w:val="24"/>
            <w:szCs w:val="24"/>
            <w:u w:val="single"/>
            <w:rtl w:val="0"/>
          </w:rPr>
          <w:t xml:space="preserve">https://stackoverflow.com/questions/13625849/knn-classification-with-categorical-data</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K-Nearest Neighbors (KNN): A Step-by-Step Guide with Categorical and Numerical Data - Medium, accessed March 16, 2026, </w:t>
      </w:r>
      <w:hyperlink r:id="rId87">
        <w:r w:rsidDel="00000000" w:rsidR="00000000" w:rsidRPr="00000000">
          <w:rPr>
            <w:rFonts w:ascii="Google Sans" w:cs="Google Sans" w:eastAsia="Google Sans" w:hAnsi="Google Sans"/>
            <w:color w:val="0000ee"/>
            <w:sz w:val="24"/>
            <w:szCs w:val="24"/>
            <w:u w:val="single"/>
            <w:rtl w:val="0"/>
          </w:rPr>
          <w:t xml:space="preserve">https://medium.com/@gvgg1998/understanding-k-nearest-neighbors-knn-a-step-by-step-guide-with-categorical-and-numerical-data-66e3ac769aac</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GUIDE.pdf</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prediction using k- nearest neighbors (knn) - Gongcheng Kexue Yu Jishu/Advanced Engineering Science, accessed March 16, 2026, </w:t>
      </w:r>
      <w:hyperlink r:id="rId88">
        <w:r w:rsidDel="00000000" w:rsidR="00000000" w:rsidRPr="00000000">
          <w:rPr>
            <w:rFonts w:ascii="Google Sans" w:cs="Google Sans" w:eastAsia="Google Sans" w:hAnsi="Google Sans"/>
            <w:color w:val="0000ee"/>
            <w:sz w:val="24"/>
            <w:szCs w:val="24"/>
            <w:u w:val="single"/>
            <w:rtl w:val="0"/>
          </w:rPr>
          <w:t xml:space="preserve">https://advancedengineeringscience.com/article/pdf/7.pdf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84" Type="http://schemas.openxmlformats.org/officeDocument/2006/relationships/hyperlink" Target="https://sebastianraschka.com/pdf/lecture-notes/stat479fs19/02-knn__notes.pdf" TargetMode="External"/><Relationship Id="rId83" Type="http://schemas.openxmlformats.org/officeDocument/2006/relationships/hyperlink" Target="https://stats.stackexchange.com/questions/287425/why-do-you-need-to-scale-data-in-knn" TargetMode="External"/><Relationship Id="rId42" Type="http://schemas.openxmlformats.org/officeDocument/2006/relationships/image" Target="media/image9.png"/><Relationship Id="rId86" Type="http://schemas.openxmlformats.org/officeDocument/2006/relationships/hyperlink" Target="https://stackoverflow.com/questions/13625849/knn-classification-with-categorical-data" TargetMode="External"/><Relationship Id="rId41" Type="http://schemas.openxmlformats.org/officeDocument/2006/relationships/image" Target="media/image10.png"/><Relationship Id="rId85" Type="http://schemas.openxmlformats.org/officeDocument/2006/relationships/hyperlink" Target="https://www.researchgate.net/post/Does_standardization_or_normalization_of_categorical_features_have_any_statistical_validity_for_performing_on_machine_learning_models" TargetMode="External"/><Relationship Id="rId44" Type="http://schemas.openxmlformats.org/officeDocument/2006/relationships/image" Target="media/image14.png"/><Relationship Id="rId88" Type="http://schemas.openxmlformats.org/officeDocument/2006/relationships/hyperlink" Target="https://advancedengineeringscience.com/article/pdf/7.pdf" TargetMode="External"/><Relationship Id="rId43" Type="http://schemas.openxmlformats.org/officeDocument/2006/relationships/image" Target="media/image6.png"/><Relationship Id="rId87" Type="http://schemas.openxmlformats.org/officeDocument/2006/relationships/hyperlink" Target="https://medium.com/@gvgg1998/understanding-k-nearest-neighbors-knn-a-step-by-step-guide-with-categorical-and-numerical-data-66e3ac769aac" TargetMode="External"/><Relationship Id="rId46" Type="http://schemas.openxmlformats.org/officeDocument/2006/relationships/image" Target="media/image34.png"/><Relationship Id="rId45" Type="http://schemas.openxmlformats.org/officeDocument/2006/relationships/image" Target="media/image16.png"/><Relationship Id="rId80" Type="http://schemas.openxmlformats.org/officeDocument/2006/relationships/hyperlink" Target="https://medium.com/@buyaalfariz/the-fundamentals-of-k-nearest-neighbors-normalization-and-standardization-a3e6ca616d57" TargetMode="External"/><Relationship Id="rId82" Type="http://schemas.openxmlformats.org/officeDocument/2006/relationships/hyperlink" Target="https://stats.stackexchange.com/questions/30317/reason-to-normalize-in-euclidean-distance-measures-in-hierarchical-clustering" TargetMode="External"/><Relationship Id="rId81" Type="http://schemas.openxmlformats.org/officeDocument/2006/relationships/hyperlink" Target="https://bookdown.org/robert_statmind/mmsc_test_01/the-k-nn-algorith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www.ig.com/en/trading-strategies/16-candlestick-patterns-every-trader-should-know-180615" TargetMode="External"/><Relationship Id="rId47" Type="http://schemas.openxmlformats.org/officeDocument/2006/relationships/image" Target="media/image39.png"/><Relationship Id="rId49" Type="http://schemas.openxmlformats.org/officeDocument/2006/relationships/hyperlink" Target="https://ideas.repec.org/a/spr/fininn/v6y2020i1d10.1186_s40854-020-00187-0.html"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3.png"/><Relationship Id="rId8" Type="http://schemas.openxmlformats.org/officeDocument/2006/relationships/image" Target="media/image18.png"/><Relationship Id="rId73" Type="http://schemas.openxmlformats.org/officeDocument/2006/relationships/hyperlink" Target="https://www.alphaxiv.org/overview/2509.16137v1" TargetMode="External"/><Relationship Id="rId72" Type="http://schemas.openxmlformats.org/officeDocument/2006/relationships/hyperlink" Target="https://ideas.repec.org/p/arx/papers/2509.16137.html" TargetMode="External"/><Relationship Id="rId31" Type="http://schemas.openxmlformats.org/officeDocument/2006/relationships/image" Target="media/image4.png"/><Relationship Id="rId75" Type="http://schemas.openxmlformats.org/officeDocument/2006/relationships/hyperlink" Target="https://jmlr.csail.mit.edu/papers/volume10/weinberger09a/weinberger09a.pdf" TargetMode="External"/><Relationship Id="rId30" Type="http://schemas.openxmlformats.org/officeDocument/2006/relationships/image" Target="media/image3.png"/><Relationship Id="rId74" Type="http://schemas.openxmlformats.org/officeDocument/2006/relationships/hyperlink" Target="https://arxiv.org/html/2509.16137v1" TargetMode="External"/><Relationship Id="rId33" Type="http://schemas.openxmlformats.org/officeDocument/2006/relationships/image" Target="media/image15.png"/><Relationship Id="rId77" Type="http://schemas.openxmlformats.org/officeDocument/2006/relationships/hyperlink" Target="https://trendspider.com/learning-center/k-nearest-neighbors-knn/" TargetMode="External"/><Relationship Id="rId32" Type="http://schemas.openxmlformats.org/officeDocument/2006/relationships/image" Target="media/image1.png"/><Relationship Id="rId76" Type="http://schemas.openxmlformats.org/officeDocument/2006/relationships/hyperlink" Target="https://en.wikipedia.org/wiki/K-nearest_neighbors_algorithm" TargetMode="External"/><Relationship Id="rId35" Type="http://schemas.openxmlformats.org/officeDocument/2006/relationships/image" Target="media/image2.png"/><Relationship Id="rId79" Type="http://schemas.openxmlformats.org/officeDocument/2006/relationships/hyperlink" Target="https://gis.cdc.gov/grasp/diabetes/data/tutorials/analysis/FAQ_ED_CDA.html" TargetMode="External"/><Relationship Id="rId34" Type="http://schemas.openxmlformats.org/officeDocument/2006/relationships/image" Target="media/image17.png"/><Relationship Id="rId78" Type="http://schemas.openxmlformats.org/officeDocument/2006/relationships/hyperlink" Target="https://www.kdnuggets.com/2020/11/most-popular-distance-metrics-knn.html" TargetMode="External"/><Relationship Id="rId71" Type="http://schemas.openxmlformats.org/officeDocument/2006/relationships/hyperlink" Target="https://sciencescholar.us/journal/index.php/ijhs/article/download/7230/3385/3534" TargetMode="External"/><Relationship Id="rId70" Type="http://schemas.openxmlformats.org/officeDocument/2006/relationships/hyperlink" Target="https://pmc.ncbi.nlm.nih.gov/articles/PMC11935771/" TargetMode="External"/><Relationship Id="rId37" Type="http://schemas.openxmlformats.org/officeDocument/2006/relationships/image" Target="media/image11.png"/><Relationship Id="rId36" Type="http://schemas.openxmlformats.org/officeDocument/2006/relationships/image" Target="media/image19.png"/><Relationship Id="rId39" Type="http://schemas.openxmlformats.org/officeDocument/2006/relationships/image" Target="media/image20.png"/><Relationship Id="rId38" Type="http://schemas.openxmlformats.org/officeDocument/2006/relationships/image" Target="media/image5.png"/><Relationship Id="rId62" Type="http://schemas.openxmlformats.org/officeDocument/2006/relationships/hyperlink" Target="https://www.mdpi.com/2076-3417/10/13/4484" TargetMode="External"/><Relationship Id="rId61" Type="http://schemas.openxmlformats.org/officeDocument/2006/relationships/hyperlink" Target="https://www.youtube.com/watch?v=m4WOwgUMQuc" TargetMode="External"/><Relationship Id="rId20" Type="http://schemas.openxmlformats.org/officeDocument/2006/relationships/image" Target="media/image36.png"/><Relationship Id="rId64" Type="http://schemas.openxmlformats.org/officeDocument/2006/relationships/hyperlink" Target="https://www.internationaljournalssrg.org/IJECE/2024/Volume11-Issue6/IJECE-V11I6P107.pdf" TargetMode="External"/><Relationship Id="rId63" Type="http://schemas.openxmlformats.org/officeDocument/2006/relationships/hyperlink" Target="https://pmc.ncbi.nlm.nih.gov/articles/PMC8345893/" TargetMode="External"/><Relationship Id="rId22" Type="http://schemas.openxmlformats.org/officeDocument/2006/relationships/image" Target="media/image35.png"/><Relationship Id="rId66" Type="http://schemas.openxmlformats.org/officeDocument/2006/relationships/hyperlink" Target="https://ieeexplore.ieee.org/iel7/6287639/9312710/09481924.pdf" TargetMode="External"/><Relationship Id="rId21" Type="http://schemas.openxmlformats.org/officeDocument/2006/relationships/image" Target="media/image42.png"/><Relationship Id="rId65" Type="http://schemas.openxmlformats.org/officeDocument/2006/relationships/hyperlink" Target="https://www.researchgate.net/publication/353477899_Stock_Trend_Prediction_Using_Candlestick_Charting_and_Ensemble_Machine_Learning_Techniques_With_a_Novelty_Feature_Engineering_Scheme" TargetMode="External"/><Relationship Id="rId24" Type="http://schemas.openxmlformats.org/officeDocument/2006/relationships/image" Target="media/image13.png"/><Relationship Id="rId68" Type="http://schemas.openxmlformats.org/officeDocument/2006/relationships/hyperlink" Target="https://dergipark.org.tr/en/download/article-file/3704724" TargetMode="External"/><Relationship Id="rId23" Type="http://schemas.openxmlformats.org/officeDocument/2006/relationships/image" Target="media/image38.png"/><Relationship Id="rId67" Type="http://schemas.openxmlformats.org/officeDocument/2006/relationships/hyperlink" Target="https://peerj.com/articles/cs-2719.pdf" TargetMode="External"/><Relationship Id="rId60" Type="http://schemas.openxmlformats.org/officeDocument/2006/relationships/hyperlink" Target="https://www.youtube.com/shorts/jZMnEKZLpTU" TargetMode="External"/><Relationship Id="rId26" Type="http://schemas.openxmlformats.org/officeDocument/2006/relationships/image" Target="media/image32.png"/><Relationship Id="rId25" Type="http://schemas.openxmlformats.org/officeDocument/2006/relationships/image" Target="media/image25.png"/><Relationship Id="rId69" Type="http://schemas.openxmlformats.org/officeDocument/2006/relationships/hyperlink" Target="https://journals.plos.org/plosone/article?id=10.1371/journal.pone.0255558" TargetMode="External"/><Relationship Id="rId28" Type="http://schemas.openxmlformats.org/officeDocument/2006/relationships/image" Target="media/image27.png"/><Relationship Id="rId27" Type="http://schemas.openxmlformats.org/officeDocument/2006/relationships/image" Target="media/image30.png"/><Relationship Id="rId29" Type="http://schemas.openxmlformats.org/officeDocument/2006/relationships/image" Target="media/image24.png"/><Relationship Id="rId51" Type="http://schemas.openxmlformats.org/officeDocument/2006/relationships/hyperlink" Target="https://fastercapital.com/topics/types-of-forex-charts.html/1" TargetMode="External"/><Relationship Id="rId50" Type="http://schemas.openxmlformats.org/officeDocument/2006/relationships/hyperlink" Target="https://arxiv.org/abs/1901.05237" TargetMode="External"/><Relationship Id="rId53" Type="http://schemas.openxmlformats.org/officeDocument/2006/relationships/hyperlink" Target="https://www.logikfx.com/post/how-artificial-intelligence-identifies-candlesticks" TargetMode="External"/><Relationship Id="rId52" Type="http://schemas.openxmlformats.org/officeDocument/2006/relationships/hyperlink" Target="https://www.morpher.com/blog/candlestick-patterns" TargetMode="External"/><Relationship Id="rId11" Type="http://schemas.openxmlformats.org/officeDocument/2006/relationships/image" Target="media/image31.png"/><Relationship Id="rId55" Type="http://schemas.openxmlformats.org/officeDocument/2006/relationships/hyperlink" Target="https://www.semanticscholar.org/paper/Encoding-Candlesticks-as-Images-for-Patterns-Using-Tsai-Chen/14de80238a423a8e1bf8f8b4152d355955d4650a" TargetMode="External"/><Relationship Id="rId10" Type="http://schemas.openxmlformats.org/officeDocument/2006/relationships/image" Target="media/image8.png"/><Relationship Id="rId54" Type="http://schemas.openxmlformats.org/officeDocument/2006/relationships/hyperlink" Target="https://groww.in/blog/how-to-read-candlestick-charts" TargetMode="External"/><Relationship Id="rId13" Type="http://schemas.openxmlformats.org/officeDocument/2006/relationships/image" Target="media/image28.png"/><Relationship Id="rId57" Type="http://schemas.openxmlformats.org/officeDocument/2006/relationships/hyperlink" Target="https://www.dukascopy.com/swiss/english/marketwatch/articles/reversal-candlestick-patterns/" TargetMode="External"/><Relationship Id="rId12" Type="http://schemas.openxmlformats.org/officeDocument/2006/relationships/image" Target="media/image37.png"/><Relationship Id="rId56" Type="http://schemas.openxmlformats.org/officeDocument/2006/relationships/hyperlink" Target="https://cs231n.stanford.edu/reports/2022/pdfs/157.pdf" TargetMode="External"/><Relationship Id="rId15" Type="http://schemas.openxmlformats.org/officeDocument/2006/relationships/image" Target="media/image40.png"/><Relationship Id="rId59" Type="http://schemas.openxmlformats.org/officeDocument/2006/relationships/hyperlink" Target="https://www.youtube.com/shorts/kQrC5LEoTbg" TargetMode="External"/><Relationship Id="rId14" Type="http://schemas.openxmlformats.org/officeDocument/2006/relationships/image" Target="media/image7.png"/><Relationship Id="rId58" Type="http://schemas.openxmlformats.org/officeDocument/2006/relationships/hyperlink" Target="https://trendspider.com/blog/trading-candlestick-patterns-101-intro-common-candlesticks-patterns/" TargetMode="External"/><Relationship Id="rId17" Type="http://schemas.openxmlformats.org/officeDocument/2006/relationships/image" Target="media/image33.png"/><Relationship Id="rId16" Type="http://schemas.openxmlformats.org/officeDocument/2006/relationships/image" Target="media/image22.png"/><Relationship Id="rId19" Type="http://schemas.openxmlformats.org/officeDocument/2006/relationships/image" Target="media/image4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