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Quantitative Paradigms and Architectural Blueprint for System A Financial Forecasting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financial market forecasting requires a definitive departure from traditional two-dimensional time-series paradigms. Historically, quantitative analysts and algorithmic models have relied heavily on the aggregation of discrete, time-bound price data, operating under the assumption that financial asset prices follow a Gaussian random walk.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empirical observation of market microstructure, order flow dynamics, and historical crash topologies reveals that financial markets operate as complex, non-linear, and non-stationary adaptive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capture the structural asymmetries within these environments, predictive algorithms must synthesize time-agnostic pricing geometries, microstructural order flow, fractal market memory, and multidimensional topology.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exhaustive research report synthesizes these advanced mathematical frameworks to directly inform and refine the architecture of an autonomous financial prediction engine, designated as System A. Operating on a database comprising 25 years of daily Open, High, Low, and Close (OHLCV) data across 52 United States equities and indices, System A leverages a K-Nearest Neighbours (KNN) analogue matching algorithm to project forward probability distributions.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system currently faces a critical performance threshold: overcoming a negative Brier Skill Score (BSS) deficit of 0.002 to achieve superior calibration against base-rate climatological forecasts.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systematically analyzing the mathematical mechanics of distance metrics, continuous morphological feature encoding, advanced macro-regime filtration, and rigorous probability calibration, this report provides the exact architectural blueprint required to bridge this deficit and establish a structurally robust predictive model.</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Abstraction of Time: Time-Agnostic Price Morphologies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technical analysis is fundamentally constrained by its reliance on time bases. The Japanese candlestick, originating in the eighteenth century through the work of rice trader Homma Munehisa, remains the foundational visual morphology for tracking prices over fixed temporal intervals.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candlesticks provide a robust baseline for observing market volatility, they inherently trap market analysis within a rigid chronological paradigm.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periods of low liquidity or minimal volatility, time-based charts continue to print discrete candles, generating substantial visual noise that effectively obscures the true underlying trend.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this chronological dependency, quantitative analysis has increasingly pivoted toward time-agnostic charting methods, which eliminate the temporal dimension entirely and construct morphological forms driven exclusively by absolute price movement.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Renko charts filter out market noise by drawing diagonal sequences of bricks only when an asset's price moves by a predefined, fixed threshold.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Small price fluctuations that generate erratic, misleading patterns in traditional candlesticks are entirely omitted, distilling the data into pure trend trajectories and definitive reversal points.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Kagi charts function under a similar time-independent philosophy but utilize continuous vertical lines connected by horizontal segments, altering the thickness of the line—transitioning between "yin" and "yang" states—to denote shifts in supply and demand based on historical local minimums and maximums.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Point &amp; Figure (P&amp;F) charts similarly focus on filtering out noise by plotting alternating columns of X's and O's to represent rising and falling prices.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Applications in Statistical Arbitrage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these non-standard charts into algorithmic trading strategies has yielded highly sophisticated models for statistical arbitrage, particularly in pairs trading. Traditional pairs trading relies on fitting asset spreads to an Ornstein-Uhlenbeck (O-U) process, which mathematically models the mean-reverting behavior of a spread between two cointegrated assets.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foundation of this model assumes the price of a traded security satisfies a specific stochastic differential equation where the long-term mean of the spread, the mean-reversion speed, and the amplitude of randomness define the trajectory.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Determining the optimal threshold for trading this process has been extensively explored, with models such as the Bertram (2010) framework utilizing the first-passage time of the process to derive analytic formulae for trading.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strategy mathematically proves that the maximum expected return or Sharpe ratio occurs at specific volatility thresholds, work that was later enhanced by Zeng and Lee (2014) to allow for short positions by simplifying the optimization problem into a dimensionless 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fitting real-world financial data to the strict mathematical assumptions of the O-U process frequently encounters structural breaks where the spread permanently deviates, causing the model to fail catastrophically.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circumvent these limitations, experimental strategies employ H-construction, leveraging the underlying mechanics of Renko and Kagi charts to identify turning points within a tradable process without relying on strict cointegration assumptions.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measuring the geometric variability of the process through specific H-statistics, algorithmic systems can dynamically select between momentum and contrarian execution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H-Statistic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Application in Algorithmic Trading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frequency at which the process changes direction for a selected threshold over a specific period.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H-inversion indicates a heavily mean-reverting process. This metric is frequently utilized to rank and select the optimal pairs for trading from a broad asset pool.</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H-distance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sum of absolute vertical distances between adjacent local maximums and minimums.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Quantifies the total distance traveled by the asset independent of time, providing a raw measure of directional movement.</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average distance between adjacent turning points, calculated as H-distance divided by H-inversion.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strategy execution parameters. Based on specific thresholds, either a contrarian or a momentum strategy is executed.</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logic governing these thresholds is deeply rooted in statistical probabilities. If the calculated H-volatility is exactly equal to a specific threshold, the market exhibits the properties of a Wiener process (a standard martingale), rendering theoretical profitability impossible as the sequence is a pure random walk.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utilizing Renko and Kagi models, algorithms bypass complex mathematical derivations related to spread properties, focusing entirely on the empirical geometric variability of the asset path.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advanced pairs trading incorporates Markov Regime-Switching Models, assuming the price series operates in discrete states governed by transition probabilities, allowing algorithms to detect whether a spread deviation is a temporary anomaly or a permanent structural shift.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Predictability and Evaluation Biases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their theoretical utility in filtering noise and isolating trends, applying standard algorithmic backtesting environments to non-time-dependent charts introduces severe systemic risks. Because Renko, Kagi, and Point &amp; Figure charts generate synthetic, continuous price levels rather than recording exact market prints at specific timestamps, backtesting results calculated on these morphologies rarely represent actual live market conditions.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phenomenon manifests primarily as look-ahead bias, a critical error where future data is inadvertently used to execute historical trades.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a strategy evaluated on a Renko chart might trigger an execution at a synthetic brick boundary using the chart's OHLC values; however, because the Renko calculation often omits the true high or low of the underlying price action to form a perfect brick, the backtest assumes an execution price that may never have existed in the live order book with sufficient liquidity.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traders frequently witness an artificially smoothed equity curve presenting unattainable annualized returns and Sharpe ratios exceeding 1.5.</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elimination of look-ahead bias is paramount. In time-series analysis, rigorous cross-validation techniques must be applied. Because standard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36"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-fold cross-validation randomizes data—which destroys the sequential dependency of financial time series—specialized temporal cross-validation must be utilized to ensure the training set strictly precedes the holdout testing set.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parallel to this bias is observed in the experimental deployment of Large Language Models (LLMs) for market sentiment analysis. When backtesting LLMs on financial news headlines, researchers must contend with the fact that models have been pre-trained on years of internet data, embedding specific knowledge of subsequent stock returns into their neural weights.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Empirical studies demonstrate that anonymizing headlines by removing company identifiers actually improves in-sample predictive performance, indicating that the LLM's "distraction effect" often eclipses the advantage gained from look-ahead bias.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Candlestick Microstructure and the Psychology of Price Action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time-agnostic charts abstract noise, returning to the microstructural data encoded within a specific temporal interval provides vital context regarding human behavior. A standard candlestick encodes a dense amount of microstructural market data into a single geometric shape. Unlike simple line charts that map close-to-close returns, candlesticks capture the intra-period conflict between buying and selling pressures, revealing the dynamics of momentum, indecision, and price rejection.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Market prices do not move in frictionless vacuums; they are driven by the aggregate sentiment of market participants reacting to fundamental news, macroeconomic shifts, and algorithmic executions.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structure of a candlestick is defined by four fundamental price points: the Open (</w:t>
      </w:r>
      <w:r w:rsidDel="00000000" w:rsidR="00000000" w:rsidRPr="00000000">
        <w:rPr>
          <w:rFonts w:ascii="Google Sans" w:cs="Google Sans" w:eastAsia="Google Sans" w:hAnsi="Google Sans"/>
          <w:color w:val="1f1f1f"/>
        </w:rPr>
        <w:drawing>
          <wp:inline distB="19050" distT="19050" distL="19050" distR="19050">
            <wp:extent cx="145852" cy="233363"/>
            <wp:effectExtent b="0" l="0" r="0" t="0"/>
            <wp:docPr id="38"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145852" cy="233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High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37"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Low (</w:t>
      </w:r>
      <w:r w:rsidDel="00000000" w:rsidR="00000000" w:rsidRPr="00000000">
        <w:rPr>
          <w:rFonts w:ascii="Google Sans" w:cs="Google Sans" w:eastAsia="Google Sans" w:hAnsi="Google Sans"/>
          <w:color w:val="1f1f1f"/>
        </w:rPr>
        <w:drawing>
          <wp:inline distB="19050" distT="19050" distL="19050" distR="19050">
            <wp:extent cx="125611" cy="231897"/>
            <wp:effectExtent b="0" l="0" r="0" t="0"/>
            <wp:docPr id="40"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125611" cy="2318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Close (</w:t>
      </w:r>
      <w:r w:rsidDel="00000000" w:rsidR="00000000" w:rsidRPr="00000000">
        <w:rPr>
          <w:rFonts w:ascii="Google Sans" w:cs="Google Sans" w:eastAsia="Google Sans" w:hAnsi="Google Sans"/>
          <w:color w:val="1f1f1f"/>
        </w:rPr>
        <w:drawing>
          <wp:inline distB="19050" distT="19050" distL="19050" distR="19050">
            <wp:extent cx="144959" cy="231935"/>
            <wp:effectExtent b="0" l="0" r="0" t="0"/>
            <wp:docPr id="39"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144959" cy="231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morphological components are derived from the arithmetic relationships between these variables. The "Real Body" captures the absolute difference between the opening and closing prices (</w:t>
      </w:r>
      <w:r w:rsidDel="00000000" w:rsidR="00000000" w:rsidRPr="00000000">
        <w:rPr>
          <w:rFonts w:ascii="Google Sans" w:cs="Google Sans" w:eastAsia="Google Sans" w:hAnsi="Google Sans"/>
          <w:color w:val="1f1f1f"/>
        </w:rPr>
        <w:drawing>
          <wp:inline distB="19050" distT="19050" distL="19050" distR="19050">
            <wp:extent cx="618828" cy="228490"/>
            <wp:effectExtent b="0" l="0" r="0" t="0"/>
            <wp:docPr id="44"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618828" cy="228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net directional movement.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"Total Range" represents the absolute volatility spanning the highest premium to the lowest discount (</w:t>
      </w:r>
      <w:r w:rsidDel="00000000" w:rsidR="00000000" w:rsidRPr="00000000">
        <w:rPr>
          <w:rFonts w:ascii="Google Sans" w:cs="Google Sans" w:eastAsia="Google Sans" w:hAnsi="Google Sans"/>
          <w:color w:val="1f1f1f"/>
        </w:rPr>
        <w:drawing>
          <wp:inline distB="19050" distT="19050" distL="19050" distR="19050">
            <wp:extent cx="519113" cy="226522"/>
            <wp:effectExtent b="0" l="0" r="0" t="0"/>
            <wp:docPr id="4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19113" cy="226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"Upper Shadow" measures the distance between the period's highest price and the top of the real body, representing intra-period buying pressure that was subsequently rejected by sellers.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Conversely, the "Lower Shadow" measures the distance between the period's lowest price and the bottom of the real body, indicating localized capitulation where demand-side absorption aggressively bid the price back up prior to the close.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Taxonomy of Canonical Candlestick Patterns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absolute numerical values of these components are significantly less informative than their relative proportions. A high total range combined with an exceptionally small real body indicates high localized volatility but extreme market indecision, whereas a real body that approximates the total range indicates absolute, uncontested control by one side of the market order book.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Empirical research in machine learning applications isolates a core subset of highly predictive morphologies that dictate trade execution logic, risk management, and stop-loss placement.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Pattern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Psychology &amp; Theoretical Implications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Execution Strategy &amp; Risk Management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Bullish Engulfing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two-candle reversal pattern where a small bearish body is followed by a large bullish body that completely eclipses the vertical range of the previous 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 sudden influx of buying pressure, entirely negating the previous period's bearish sentiment. It indicates a capitulation of sellers.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Executed as a long entry upon the close of the bullish candle at support. Stop-loss is strictly placed below the low of the engulfing candle.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Bearish Engulfing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small bullish body is followed by a large bearish body that eclipses the previous bullish 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that bulls have exhausted their momentum, and sellers have seized complete control of the order book, forcing long liquidations.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Executed as a short entry or a long-exit signal at resistance. Stop-loss is placed immediately above the high of the engulfing candle.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Doji (General)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opening and closing prices are virtually identical, resulting in a negligible real body. The lengths of the upper and lower wicks vary.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Reflects perfect equilibrium between supply and demand. Denotes extreme indecision and a potential exhaustion of the prevailing macro trend.</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Treated as an early warning signal. Execution requires confirmation from the subsequent trading period to dictate the breakout direction.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Hammer / Pin 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single-candle reversal characterized by a small real body at the top of the total range, with a long lower wick and minimal upper wick.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Aggressive selling at the open was violently rejected by buyers, pushing the price back to near the high. Indicates strong underlying demand.</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Long entries are triggered upon the close of the hammer after a prolonged downtrend. Stop-loss logic relies on placing the exit just below the extreme low.</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Shooting 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single-candle bearish reversal featuring a small real body at the bottom of the range with a long upper wick and minimal lower wick.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Buying pressure attempted to push the asset to new highs but encountered massive distribution, resulting in a lower close.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Short entries are triggered upon the close after extended uptrends. Risk management dictates a stop-loss directly above the upper wick.</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Morning Star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three-candle bullish reversal. A long bearish candle is followed by a small-bodied candle gapping down, followed by a long bullish candle closing well into the first body.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Initial selling pressure stalls into indecision during the second period, followed by a violent bullish structural shift in the third period.</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 high-probability long entry. Stop-loss is positioned below the lowest point of the middle candle to protect against false reversals.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 White Soldiers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three-candle bullish continuation. Three consecutive long bullish bodies with small wicks, each opening within the previous body and closing progressively higher.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Demonstrates a sustained, methodical advance characterized by relentless buying pressure and minimal intra-period retracements.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Utilized to aggressively scale into existing long positions. Stop-losses trail the lowest point of the three-candle sequence.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Three Black Crows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three-candle bearish continuation. Three consecutive long bearish bodies, closing progressively lower with minimal wicks.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sustained capitulation and liquidation, with sellers dominating every phase of the trading sessions without relief rallies.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Triggers aggressive short-selling or liquidation of long portfolios. Stop-losses are trailed above the highest point of the formation.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Marubozu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single candle featuring a long real body with absolutely no upper or lower shadows.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absolute, uncontested dominance by either buyers or sellers from the exact open to the exact close.</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Signals extreme momentum. Traders execute in the direction of the Marubozu, often utilizing the midpoint as a dynamic support/resistance level.</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Discrete Categorization Frameworks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these patterns provide theoretical execution signals, their raw predictive power in strict isolation is notoriously low. Academic research indicates that isolated candlestick patterns suffer from high false-positive rates when stripped of broader market context, such as volume expansion and macro support levels.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Consequently, modern algorithmic application relies on quantitative encoding. In the pursuit of standardizing analysis, researchers have developed formal schemas that abstract visual shapes into discrete numerical states, prominently the Pattern Recognition Model using Machine Learning (PRML) advanced by Lin et al. (2021).</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foundational layer of the PRML framework involves classifying single-day candlesticks into 13 distinct classes based on the mathematical permutations of OHLC prices. By defining strict arithmetic boundaries for the relationships between the real body and shadows, the model forces every session into one of 13 specific morphological states.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capture multi-day sentiment transitions, the framework integrates an "eight-trigram" or "Bagua" classification for two-day sequences.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scheme categorizes inter-day price movements into eight specific segments based on the relative spatial location of today's price range compared to yesterday's K-line pattern. Relative to yesterday's closing price, the opening position reflects the net accumulation of market sentiment during non-trading hours (e.g., overnight gaps).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combinatorial approach yields a total of 169 possible two-day candlestick states. Empirical evaluations demonstrated that these two-day patterns achieved prediction accuracies exceeding 60% when paired with ensemble machine learning techniques like Random Forest (RF) and Gradient Boosting Decision Trees (GBDT).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Encoding Modalities and Visual Abstraction Limitations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harness predictive power across diverse machine learning architectures, raw OHLC time-series data must be translated into mathematically digestible feature vectors. The most radical advancement in pattern recognition involves abandoning numerical analysis in favor of computer vision techniques utilizing Convolutional Neural Networks (CNNs) and You Only Look Once (YOLO) object detection models.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facilitate this, researchers utilize the Gramian Angular Field (GAF) algorithm to convert raw 1D time-series data into polar coordinate representations, subsequently transforming them into a 2D matrix or image.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standard GAF utilizes a symmetric cosine function (Gramian Angular Summation Field), which introduces a critical "symmetry problem": an aggressive upward trend and a downward trend of the exact same magnitude produce mathematically identical grayscale images.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resolve this dimensional collapse, researchers developed "RGB-GAF," stacking cosine and sine versions into a multi-channel image to differentiate directionality using color gradients.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combined with ARIMA modeling to augment synthetic chart data, YOLO-LITE models achieve average accuracies ranging from 88% to over 90% in detecting canonical patterns directly from visual representations.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high classification accuracies, empirical research reveals profound limitations in purely visual predictive models. While CNNs classify static shapes proficiently, their predictive accuracy for market strength routinely plateaus at approximately 0.7—a threshold significantly lower than complex numerical time-series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vector of failure is the catastrophic loss of temporal dynamics.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Financial markets are inherently sequential; transforming charts into 2D static images strips the neural network of its ability to weight chronological relationships and time-decay between consecutive prints.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CNNs applied to stock charts are highly susceptible to overfitting when data is tainted by noise.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reintroduce temporal data without visual abstraction, intra-bar temporal feature engineering is utilized. Traditional OHLC bars inherently destroy the sequential timing of price movements within the specified period. Recent empirical studies analyzing intraday financial data investigate the impact of incorporating the exact timestamps of the high and low prices within each bar.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engineering features that encode whether a high occurred early in the session followed by a slow bleed, or in the final seconds of trading, researchers demonstrate consistent improvements across architectures, significantly lowering mean squared error (MSE) and improving directional accuracy for volume-weighted average price (VWAP) forecasts.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Microstructural Morphology and Order Flow Dynamics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limitations inherent in 2D price-time analysis and static computer vision, institutional operators and high-frequency trading (HFT) methodologies utilize microstructural morphology, primarily deployed through Order Flow and Footprint charting.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Order flow represents the continuous stream of buy and sell orders, acting as the fundamental mechanism for price discovery.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These sophisticated tools disassemble the traditional candlestick into a three-dimensional view encompassing price, time, and executed volume transacted explicitly at the bid and the ask.</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Profiling and Distribution Shapes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macro-structural level, volume profiling records the distribution of traded volume across specific price levels over a given period, generating a horizontal histogram that visualizes market acceptance and fair value.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components include the Point of Control (POC)—the price level generating the highest volume—and the Value Area (VA), representing the price band where approximately 70% of the total trading volume occurred.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distribution shapes provide immediate insight into institutional positioning, characterized by four distinct alphabetic morphologies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Profile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Implications and Predictive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symmetrical bell curve with the highest volume clustered centrally at the Point of Control (POC).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total market balance and fair value consensus. Predictive of a volatile breakout as institutional players quietly accumulate positions during consolidation.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wide upper distribution with a long, thin lower tail representing low volume rejection at the bottom.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aggressive buying forcing a higher market consensus. Often marks a short-covering rally at the absolute end of a downtrend.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wide lower distribution with a long, thin upper tail representing low volume rejection at the 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aggressive selling and a downward shift in fair value. Serves as a powerful bearish reversal signal when occurring at the top of an uptrend.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double-distribution curve featuring two distinct high-volume nodes, essentially stacking two D-shapes.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Signifies a trend continuation spanning two distinct value areas. The dominance of either the upper or lower POC dictates the underlying institutional bias.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edges of these volume nodes, particularly the Value Area High (VAH) and Value Area Low (VAL), function as pivot points. If price attempts to breach these levels but fails because resting limit orders absorb the flow, the market signals a rejection of the new price, offering a high-probability mean-reversion entry.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Mechanics of Footprint Clustering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volume profiles aggregate data to show where business was conducted, footprint charts dynamically map the precise sequence, flow, and aggression of order execution within individual price bars.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classic footprint chart visually splits the candlestick body, isolating the bid volume (executed market sell orders) and the ask volume (executed market buy orders) for every single price tick.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micro-level transparency facilitates the identification of specific predictive patterns: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Stacked Imbalances and Momentum:</w:t>
      </w:r>
      <w:r w:rsidDel="00000000" w:rsidR="00000000" w:rsidRPr="00000000">
        <w:rPr>
          <w:rFonts w:ascii="Google Sans" w:cs="Google Sans" w:eastAsia="Google Sans" w:hAnsi="Google Sans"/>
          <w:color w:val="1f1f1f"/>
          <w:rtl w:val="0"/>
        </w:rPr>
        <w:t xml:space="preserve"> An imbalance occurs when the volume of aggressive market orders on one side of the spread significantly eclipses the other, typically exceeding ratios of 200% to 400%.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multiple consecutive imbalances align vertically at adjacent price levels—known as stacked imbalances—they visually confirm overwhelming directional participation. These clustered zones fundamentally alter support and resistance architecture; when the market retests these levels, institutional participants are highly likely to defend their positions.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Institutional Absorption and Delta Divergence:</w:t>
      </w:r>
      <w:r w:rsidDel="00000000" w:rsidR="00000000" w:rsidRPr="00000000">
        <w:rPr>
          <w:rFonts w:ascii="Google Sans" w:cs="Google Sans" w:eastAsia="Google Sans" w:hAnsi="Google Sans"/>
          <w:color w:val="1f1f1f"/>
          <w:rtl w:val="0"/>
        </w:rPr>
        <w:t xml:space="preserve"> Market manipulation relies on absorption, which manifests when heavy aggressive volume strikes a specific price level yet the price fails to advance, indicating a larger passive participant.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massive influx of market buy orders occurs at resistance but results in zero upward tick movement, an institutional player is passively absorbing demand using limit sell orders.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anomaly precedes sharp reversals, particularly when paired with delta divergence. Delta mathematically measures the net difference between aggressive buyers and sellers. If price prints a new high, yet the footprint registers a sharply negative delta, it signals that aggressive sellers have covertly seized control, serving as a highly reliable early warning signal.</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Exhaustion and Unfinished Auctions:</w:t>
      </w:r>
      <w:r w:rsidDel="00000000" w:rsidR="00000000" w:rsidRPr="00000000">
        <w:rPr>
          <w:rFonts w:ascii="Google Sans" w:cs="Google Sans" w:eastAsia="Google Sans" w:hAnsi="Google Sans"/>
          <w:color w:val="1f1f1f"/>
          <w:rtl w:val="0"/>
        </w:rPr>
        <w:t xml:space="preserve"> Exhaustion is characterized by a thinning of volume clusters at the absolute high or low of a candle, signifying a total evaporation of interest.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an "unfinished auction" occurs when heavy volume is transacted at the extreme high or low tick of a bar without a corresponding zero value on the opposing side.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Auction market theory dictates that auctions must naturally taper off to a zero print to confirm the end of directional interest. An unfinished auction implies business was prematurely cut off, generating a high statistical expectation that the market will inevitably return to that exact price level to complete the auction mechanism.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Fractal Market Analysis and Macro-Regime Filtration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beyond localized microstructures, predicting macro-market behavior requires addressing the foundational theoretical flaws in the Efficient Market Hypothesis (EMH). Traditional financial models, derived from Louis Bachelier's early frameworks, assume that asset returns follow a Gaussian random walk.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paradigm suggests that prices are memoryless, rendering future movements independent of past data. However, empirical observations—particularly the frequency of catastrophic crashes—demonstrate that financial markets exhibit persistence, bias, and heavy-tailed distributions entirely incompatible with standard normal Gaussian statistics.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Fractal Market Analysis (FMA), pioneered by Benoit Mandelbrot and Edgar E. Peters, provides a robust mathematical alternative by viewing markets through the lens of chaos theory and fractional geometry.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FMA asserts that markets maintain a self-similar, fractal structure driven by the interaction of investors operating across multiple overlapping investment horizons. Market liquidity is maintained only when these diverse time horizons remain balanced; when a specific horizon overwhelmingly dominates, the fractal structure collapses, leading to vanished liquidity and non-linear volatility events.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Rescaled Range Analysis and the Hurst Exponent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mathematical metric of FMA is the Hurst Exponent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49"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quantifies the long-term memory and autocorrelation of a time series.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is conventionally estimated using Rescaled Range (R/S) analysis, which measures the rate at which the variance of a log price series expands relative to elapsed time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7"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54" name="image32.png"/>
            <a:graphic>
              <a:graphicData uri="http://schemas.openxmlformats.org/drawingml/2006/picture">
                <pic:pic>
                  <pic:nvPicPr>
                    <pic:cNvPr id="0" name="image32.png"/>
                    <pic:cNvPicPr preferRelativeResize="0"/>
                  </pic:nvPicPr>
                  <pic:blipFill>
                    <a:blip r:embed="rId1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evaluating the rescaled range over varying time scales, the resulting Hurst exponent categorizes the financial process into three behavioral regimes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Hurst Exponent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 for Algorithmic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64691" cy="199544"/>
                  <wp:effectExtent b="0" l="0" r="0" t="0"/>
                  <wp:docPr id="50" name="image35.png"/>
                  <a:graphic>
                    <a:graphicData uri="http://schemas.openxmlformats.org/drawingml/2006/picture">
                      <pic:pic>
                        <pic:nvPicPr>
                          <pic:cNvPr id="0" name="image35.png"/>
                          <pic:cNvPicPr preferRelativeResize="0"/>
                        </pic:nvPicPr>
                        <pic:blipFill>
                          <a:blip r:embed="rId15"/>
                          <a:srcRect b="0" l="0" r="0" t="0"/>
                          <a:stretch>
                            <a:fillRect/>
                          </a:stretch>
                        </pic:blipFill>
                        <pic:spPr>
                          <a:xfrm>
                            <a:off x="0" y="0"/>
                            <a:ext cx="864691" cy="1995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Anti-persistent / Mean-reverting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is prone to frequent reversals. Optimal for oscillator-based, overbought/oversold contrarian strategies.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68672" cy="199035"/>
                  <wp:effectExtent b="0" l="0" r="0" t="0"/>
                  <wp:docPr id="52"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68672" cy="1990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Walk / Brownian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is perfectly random and memoryless. Price movements are independent, rendering directional predictions statistically invalid.</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90152" cy="199935"/>
                  <wp:effectExtent b="0" l="0" r="0" t="0"/>
                  <wp:docPr id="55"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990152" cy="1999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 Trending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exhibits long-term memory. A historical upward trajectory has a high mathematical probability of continuing. Optimal for momentum algorithms.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Calculating the Hurst exponent accurately requires accounting for the presence of heavy tails. Research utilizing Monte Carlo simulations reveals variance among calculation methods; while Detrending Moving Average (DMA) exists, the Generalized Hurst Exponent (GHE) approach proves highly robust to heavy-tailed distributions, consistently providing the lowest variance.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dynamics of the Hurst exponent during the 2008 Global Financial Crisis provide profound evidence of its utility. Studies revealed that while tranquil pre-crisis periods exhibited varying degrees of randomness, the onset of the 2008 crisis caused market returns to abruptly display persistent long-term memory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57"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shift was symptomatic of a catastrophic breakdown in market efficiency, driven by the monopolization of the market by short-term panic selling.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Applying copula models to local Hurst exponents demonstrated a massive spike in correlation during the collapse, proving that as fractal liquidity degraded, market panic synchronized globally.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FMA is capable of identifying structural vulnerability long before the ultimate price bottom is reached, offering a vital macro-overlay for quantitative models.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Data Analysis (TDA) in Financial Dimensionality</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mathematically rigorous advancement in modeling multidimensional financial space is Topological Data Analysis (TDA). TDA bridges algebraic topology, computer science, and non-linear dynamic systems to analyze the fundamental "shape" of multidimensional data, completely eschewing traditional point-to-point price analysis.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core strength of TDA lies in its coordinate-free nature; the output inherits functoriality and is profoundly robust to the severe noise endemic to high-frequency trading datasets, ensuring that small perturbations do not corrupt the topological signature.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Persistent Homology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TDA transposes raw time-series data into a high-dimensional topological space using delay embedding theorems (such as Takens' embedding) and sliding window techniques.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Rather than analyzing simple market networks consisting only of basic nodes and links, TDA evaluates the cross-correlations of the dataset through high-dimensional simplices, including solid geometric faces and higher-order geometric tetrahedrons.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analytical engine of TDA is Persistent Homology. By scanning through a continuum of correlation thresholds—a mathematical procedure known as filtration—TDA continuously monitors the birth, lifespan, and death of topological features across varying resolutions.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Features that persist across a wide range of filtration thresholds are deemed robust, fundamental characteristics of the market's structure, while ephemeral features are discarded as transient noise.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topological structures are mathematically quantified through Betti numbers (</w:t>
      </w:r>
      <w:r w:rsidDel="00000000" w:rsidR="00000000" w:rsidRPr="00000000">
        <w:rPr>
          <w:rFonts w:ascii="Google Sans" w:cs="Google Sans" w:eastAsia="Google Sans" w:hAnsi="Google Sans"/>
          <w:color w:val="1f1f1f"/>
        </w:rPr>
        <w:drawing>
          <wp:inline distB="19050" distT="19050" distL="19050" distR="19050">
            <wp:extent cx="191095" cy="229314"/>
            <wp:effectExtent b="0" l="0" r="0" t="0"/>
            <wp:docPr id="59"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191095" cy="2293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155972" cy="204713"/>
            <wp:effectExtent b="0" l="0" r="0" t="0"/>
            <wp:docPr id="6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connected components or isolated clusters within the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5972" cy="204713"/>
            <wp:effectExtent b="0" l="0" r="0" t="0"/>
            <wp:docPr id="63"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one-dimensional holes, loops, or circular structures.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5972" cy="204713"/>
            <wp:effectExtent b="0" l="0" r="0" t="0"/>
            <wp:docPr id="6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two-dimensional voids or cavities bounded by faces within the data.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mapping Betti numbers across moving windows, TDA has successfully isolated the exact topological signatures of systemic market crashes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Topological Signature (Betti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Microstructure 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Pre-Crash (Bubble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65"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high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66"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high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24"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market is highly integrated. All stock components act as a single, interconnected cluster with complex, multidimensional cross-correlations forming robust internal voids.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Onset of 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26"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rapid drop in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28"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29"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complex "handles" and higher-dimensional voids of the market surface break. Complex cross-asset correlations begin to fracture as persistent entropy drops.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Crash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Surging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0"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collapsing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1"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single giant cluster violently shatters into numerous isolated, disjointed asset groups. Market-wide correlation fails, and individual asset panic takes over.</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Post-Crash (Bottom)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3"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near-zero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4" name="image43.png"/>
                  <a:graphic>
                    <a:graphicData uri="http://schemas.openxmlformats.org/drawingml/2006/picture">
                      <pic:pic>
                        <pic:nvPicPr>
                          <pic:cNvPr id="0" name="image43.png"/>
                          <pic:cNvPicPr preferRelativeResize="0"/>
                        </pic:nvPicPr>
                        <pic:blipFill>
                          <a:blip r:embed="rId2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5"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fragmentation. The market exists as maximum isolated clusters with virtually no complex structural unity, paving the way for eventual bottom formation.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249287" cy="297227"/>
            <wp:effectExtent b="0" l="0" r="0" t="0"/>
            <wp:docPr id="11"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249287" cy="297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 Landscapes and Causal Decision Rules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post-mortem analysis, TDA offers genuine predictive capability through the generation of early warning signals (EWS). By extracting time-dependent point cloud data sets and generating "persistence landscapes" based on transient loops, researchers can quantify temporal changes mathematically using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1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1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 condenses the multi-layer structure of the landscape into a transparent time series representing geometric stress.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905500" cy="564073"/>
            <wp:effectExtent b="0" l="0" r="0" t="0"/>
            <wp:docPr id="1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05500" cy="56407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models analyzing major U.S. equity indices (S&amp;P 500, NASDAQ, DJIA, Russell 2000), a single interpretable indicator obtained via the </w:t>
      </w:r>
      <w:r w:rsidDel="00000000" w:rsidR="00000000" w:rsidRPr="00000000">
        <w:rPr>
          <w:rFonts w:ascii="Google Sans" w:cs="Google Sans" w:eastAsia="Google Sans" w:hAnsi="Google Sans"/>
          <w:color w:val="1f1f1f"/>
        </w:rPr>
        <w:drawing>
          <wp:inline distB="19050" distT="19050" distL="19050" distR="19050">
            <wp:extent cx="199281" cy="227750"/>
            <wp:effectExtent b="0" l="0" r="0" t="0"/>
            <wp:docPr id="16"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99281" cy="2277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norm of the persistence landscape is passed through a strictly causal decision rule designed to suppress isolated spikes and collapse bursts into time-stamped warnings.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Parameterized by thresholds (</w:t>
      </w:r>
      <w:r w:rsidDel="00000000" w:rsidR="00000000" w:rsidRPr="00000000">
        <w:rPr>
          <w:rFonts w:ascii="Google Sans" w:cs="Google Sans" w:eastAsia="Google Sans" w:hAnsi="Google Sans"/>
          <w:color w:val="1f1f1f"/>
        </w:rPr>
        <w:drawing>
          <wp:inline distB="19050" distT="19050" distL="19050" distR="19050">
            <wp:extent cx="314772" cy="228925"/>
            <wp:effectExtent b="0" l="0" r="0" t="0"/>
            <wp:docPr id="17"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314772" cy="2289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run-length parameters (</w:t>
      </w:r>
      <w:r w:rsidDel="00000000" w:rsidR="00000000" w:rsidRPr="00000000">
        <w:rPr>
          <w:rFonts w:ascii="Google Sans" w:cs="Google Sans" w:eastAsia="Google Sans" w:hAnsi="Google Sans"/>
          <w:color w:val="1f1f1f"/>
        </w:rPr>
        <w:drawing>
          <wp:inline distB="19050" distT="19050" distL="19050" distR="19050">
            <wp:extent cx="235297" cy="225885"/>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35297" cy="225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detector formalizes criteria for local jumps and sustained elevations.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At a fixed strictly causal operating point (</w:t>
      </w:r>
      <w:r w:rsidDel="00000000" w:rsidR="00000000" w:rsidRPr="00000000">
        <w:rPr>
          <w:rFonts w:ascii="Google Sans" w:cs="Google Sans" w:eastAsia="Google Sans" w:hAnsi="Google Sans"/>
          <w:color w:val="1f1f1f"/>
        </w:rPr>
        <w:drawing>
          <wp:inline distB="19050" distT="19050" distL="19050" distR="19050">
            <wp:extent cx="2138363" cy="228092"/>
            <wp:effectExtent b="0" l="0" r="0" t="0"/>
            <wp:docPr id="19"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2138363" cy="2280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method attains a balanced precision-recall (</w:t>
      </w:r>
      <w:r w:rsidDel="00000000" w:rsidR="00000000" w:rsidRPr="00000000">
        <w:rPr>
          <w:rFonts w:ascii="Google Sans" w:cs="Google Sans" w:eastAsia="Google Sans" w:hAnsi="Google Sans"/>
          <w:color w:val="1f1f1f"/>
        </w:rPr>
        <w:drawing>
          <wp:inline distB="19050" distT="19050" distL="19050" distR="19050">
            <wp:extent cx="766167" cy="229850"/>
            <wp:effectExtent b="0" l="0" r="0" t="0"/>
            <wp:docPr id="20"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766167" cy="229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an average lead time of about 34 days, successfully anticipating the 2008 global financial crisis and issuing contemporaneous signals for the COVID-19 shock.</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prevailing limitation of classical TDA is its immense computational burden, incurring an exponential time complexity of </w:t>
      </w:r>
      <w:r w:rsidDel="00000000" w:rsidR="00000000" w:rsidRPr="00000000">
        <w:rPr>
          <w:rFonts w:ascii="Google Sans" w:cs="Google Sans" w:eastAsia="Google Sans" w:hAnsi="Google Sans"/>
          <w:color w:val="1f1f1f"/>
        </w:rPr>
        <w:drawing>
          <wp:inline distB="19050" distT="19050" distL="19050" distR="19050">
            <wp:extent cx="468213" cy="229329"/>
            <wp:effectExtent b="0" l="0" r="0" t="0"/>
            <wp:docPr id="1"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468213" cy="229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dimensions expand.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experimental integrations of quantum computing leverage the superposition principle to process highly dimensioned data structures simultaneously, drastically slashing time complexity to </w:t>
      </w:r>
      <w:r w:rsidDel="00000000" w:rsidR="00000000" w:rsidRPr="00000000">
        <w:rPr>
          <w:rFonts w:ascii="Google Sans" w:cs="Google Sans" w:eastAsia="Google Sans" w:hAnsi="Google Sans"/>
          <w:color w:val="1f1f1f"/>
        </w:rPr>
        <w:drawing>
          <wp:inline distB="19050" distT="19050" distL="19050" distR="19050">
            <wp:extent cx="810369" cy="228810"/>
            <wp:effectExtent b="0" l="0" r="0" t="0"/>
            <wp:docPr id="2"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810369" cy="2288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making real-time, high-frequency TDA forecasting highly viable.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incorporating TDA features (like entropy and amplitude) into deep learning models like N-BEATS significantly boosts forecasting accuracy, consistently achieving the best mean performance across MAPE, MAE, and RMSE metrics in empirical trials.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Considerations for System A's Nearest-Neighbour Architecture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System A is an autonomous algorithmic framework explicitly designed to predict future stock movements via historical analogue matching. It operates on a comprehensive dataset comprising 25 years of daily OHLCV data across 52 major United States tickers.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ensure rigorous out-of-sample testing, the temporal split enforces a strict boundary: a Training Set (2010 to 2023), a Validation Set (2024), and a Test Set (2025 onwards).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prediction engine utilizes the ball_tree K-Nearest Neighbours (KNN) algorithm to locate the </w:t>
      </w:r>
      <w:r w:rsidDel="00000000" w:rsidR="00000000" w:rsidRPr="00000000">
        <w:rPr>
          <w:rFonts w:ascii="Google Sans" w:cs="Google Sans" w:eastAsia="Google Sans" w:hAnsi="Google Sans"/>
          <w:color w:val="1f1f1f"/>
        </w:rPr>
        <w:drawing>
          <wp:inline distB="19050" distT="19050" distL="19050" distR="19050">
            <wp:extent cx="1089870" cy="229446"/>
            <wp:effectExtent b="0" l="0" r="0" t="0"/>
            <wp:docPr id="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1089870" cy="2294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most similar historical moments to project forward probability distributions.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non-parametric algorithms like KNN, the choice of distance metric dictates the absolute geometry of the feature space. The misapplication of these metrics invariably leads to severe dimensional corruption, a phenomenon that directly precipitated the failure of System A’s previous iterations.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Diagnosis of Distance Saturation and Regime Vector Failure</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 previously deployed a 16-feature vector combining 8 return features and 8 discrete "regime" features, evaluated using Cosine similarity.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Cosine similarity calculates the angular cosine between two non-zero vectors, entirely ignoring their magnitude: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7735"/>
            <wp:effectExtent b="0" l="0" r="0" t="0"/>
            <wp:docPr id="4"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5905500" cy="47773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highly effective in high-dimensional text classification, its application to financial time series resulted in catastrophic distance saturation.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Diagnostic telemetry indicated that 93.3% of all training vectors collapsed into a tight Cosine distance of 0.20 from any given query.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Because Cosine distance ignores absolute scale, a sequence of </w:t>
      </w:r>
      <w:r w:rsidDel="00000000" w:rsidR="00000000" w:rsidRPr="00000000">
        <w:rPr>
          <w:rFonts w:ascii="Google Sans" w:cs="Google Sans" w:eastAsia="Google Sans" w:hAnsi="Google Sans"/>
          <w:color w:val="1f1f1f"/>
        </w:rPr>
        <w:drawing>
          <wp:inline distB="19050" distT="19050" distL="19050" distR="19050">
            <wp:extent cx="532805" cy="218830"/>
            <wp:effectExtent b="0" l="0" r="0" t="0"/>
            <wp:docPr id="5" name="image10.png"/>
            <a:graphic>
              <a:graphicData uri="http://schemas.openxmlformats.org/drawingml/2006/picture">
                <pic:pic>
                  <pic:nvPicPr>
                    <pic:cNvPr id="0" name="image10.png"/>
                    <pic:cNvPicPr preferRelativeResize="0"/>
                  </pic:nvPicPr>
                  <pic:blipFill>
                    <a:blip r:embed="rId35"/>
                    <a:srcRect b="0" l="0" r="0" t="0"/>
                    <a:stretch>
                      <a:fillRect/>
                    </a:stretch>
                  </pic:blipFill>
                  <pic:spPr>
                    <a:xfrm>
                      <a:off x="0" y="0"/>
                      <a:ext cx="532805" cy="21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daily returns was perceived as mathematically identical to a sequence of </w:t>
      </w:r>
      <w:r w:rsidDel="00000000" w:rsidR="00000000" w:rsidRPr="00000000">
        <w:rPr>
          <w:rFonts w:ascii="Google Sans" w:cs="Google Sans" w:eastAsia="Google Sans" w:hAnsi="Google Sans"/>
          <w:color w:val="1f1f1f"/>
        </w:rPr>
        <w:drawing>
          <wp:inline distB="19050" distT="19050" distL="19050" distR="19050">
            <wp:extent cx="532805" cy="218830"/>
            <wp:effectExtent b="0" l="0" r="0" t="0"/>
            <wp:docPr id="6" name="image7.png"/>
            <a:graphic>
              <a:graphicData uri="http://schemas.openxmlformats.org/drawingml/2006/picture">
                <pic:pic>
                  <pic:nvPicPr>
                    <pic:cNvPr id="0" name="image7.png"/>
                    <pic:cNvPicPr preferRelativeResize="0"/>
                  </pic:nvPicPr>
                  <pic:blipFill>
                    <a:blip r:embed="rId36"/>
                    <a:srcRect b="0" l="0" r="0" t="0"/>
                    <a:stretch>
                      <a:fillRect/>
                    </a:stretch>
                  </pic:blipFill>
                  <pic:spPr>
                    <a:xfrm>
                      <a:off x="0" y="0"/>
                      <a:ext cx="532805" cy="21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daily returns.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distance filter became non-binding, effectively turning the KNN algorithm into a random sampler, resulting in a severely penalized Brier Skill Score of approximately -0.135.</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Categorical Variable Trap in Euclidean Space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correct this, the architecture transitioned to Euclidean distance, which calculates the straight-line distance in a generalized Minkowski space, heavily punishing magnitude deviations: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5294"/>
            <wp:effectExtent b="0" l="0" r="0" t="0"/>
            <wp:docPr id="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5905500" cy="535294"/>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Euclidean distance on an 8-feature return-only vector significantly salvaged System A (improving the BSS to -0.00192), it exposes the model to the "Categorical Variable Trap".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financial model attempts to use the 13-class discrete labels (e.g., 1 = Engulfing, 2 = Doji, 12 = Three Black Crows) within a Euclidean KNN framework, the distance calculation collapses into absurdity.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Calculating the Euclidean distance between a Doji (class 2) and an Engulfing pattern (class 1) yields a numeric distance of 1, while the distance between a Doji and a completely unrelated Three Black Crows pattern yields a distance of 10.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numeric calculation imposes a false spatial and ordinal relationship upon nominal categories, destroying the integrity of the nearest-neighbour search space.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Thus, rigorous normalization and the strict avoidance of discrete ordinal labels are absolute mathematical prerequisites for Euclidean clustering.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Trajectory of System A Sweeps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historical trajectory of System A’s experiment sweeps highlights the necessity of this geometric transition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Experiment Phase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Peak Performance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Diagnostic 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Sweep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Distance, Inverse/Uniform weights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-0.029, AvgK = 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Distance filter saturated. 93.3% of vectors within 0.20 cosine distance.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Sweep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Cosine Micro-Distance + Euclidean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-0.0498, AvgK = 41.2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Euclidean distance on return-only features proven definitively superior to Cosine.</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Sweep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Euclidean + Return-Only Fine Grid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-0.038, Acc = 58.6%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Discarded 8 discrete regime features to avoid dimensional distortion.</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Overnight Phase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Euclidean + Return-Only + Platt Scaling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-0.00192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Platt scaling successfully remapped raw probabilities, closing the BSS gap to 0.002.</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Overnight 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Feature Weight Ablation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BSS = -0.038 (Raw)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Confirmed that hand-tuned feature weights hold zero marginal value over flat weights.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Continuous Shape Vector Formulation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relying strictly on close-to-close trailing returns salvaged System A's distance geometry, it leaves the model entirely blind to crucial intra-day microstructure. By entirely ignoring the shape of the candlestick, System A conflates structural accumulation with structural distribution.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To push System A into positive BSS territory, candlestick morphologies must be mapped into the Euclidean space without triggering the categorical variable trap that doomed the previous 16-feature regime set.</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seamlessly integrate this, System A must augment the existing 8 return features with a 3-feature "Continuous Shape Vector" extracted strictly from the target day's parameters. This continuous encoding breaks the candlestick down into a vector of standardized ratios, natively bounded between -1 and +1.</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Body Dominance Ratio (</w:t>
      </w:r>
      <w:r w:rsidDel="00000000" w:rsidR="00000000" w:rsidRPr="00000000">
        <w:rPr>
          <w:rFonts w:ascii="Google Sans" w:cs="Google Sans" w:eastAsia="Google Sans" w:hAnsi="Google Sans"/>
          <w:b w:val="1"/>
          <w:bCs w:val="1"/>
          <w:color w:val="1f1f1f"/>
        </w:rPr>
        <w:drawing>
          <wp:inline distB="19050" distT="19050" distL="19050" distR="19050">
            <wp:extent cx="402283" cy="229876"/>
            <wp:effectExtent b="0" l="0" r="0" t="0"/>
            <wp:docPr id="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02283" cy="229876"/>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33704"/>
            <wp:effectExtent b="0" l="0" r="0" t="0"/>
            <wp:docPr id="9" name="image6.png"/>
            <a:graphic>
              <a:graphicData uri="http://schemas.openxmlformats.org/drawingml/2006/picture">
                <pic:pic>
                  <pic:nvPicPr>
                    <pic:cNvPr id="0" name="image6.png"/>
                    <pic:cNvPicPr preferRelativeResize="0"/>
                  </pic:nvPicPr>
                  <pic:blipFill>
                    <a:blip r:embed="rId39"/>
                    <a:srcRect b="0" l="0" r="0" t="0"/>
                    <a:stretch>
                      <a:fillRect/>
                    </a:stretch>
                  </pic:blipFill>
                  <pic:spPr>
                    <a:xfrm>
                      <a:off x="0" y="0"/>
                      <a:ext cx="5905500" cy="43370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 positive value indicates a bullish close, while a negative value indicates a bearish close. The absolute magnitude indicates the dominance of the real body relative to the total intra-day volatility. A value of +1.0 represents a perfect Bullish Marubozu, while a value near 0 represents a Doji.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Upper Rejection Ratio (</w:t>
      </w:r>
      <w:r w:rsidDel="00000000" w:rsidR="00000000" w:rsidRPr="00000000">
        <w:rPr>
          <w:rFonts w:ascii="Google Sans" w:cs="Google Sans" w:eastAsia="Google Sans" w:hAnsi="Google Sans"/>
          <w:b w:val="1"/>
          <w:bCs w:val="1"/>
          <w:color w:val="1f1f1f"/>
        </w:rPr>
        <w:drawing>
          <wp:inline distB="19050" distT="19050" distL="19050" distR="19050">
            <wp:extent cx="475059" cy="228028"/>
            <wp:effectExtent b="0" l="0" r="0" t="0"/>
            <wp:docPr id="10"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75059" cy="22802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5586"/>
            <wp:effectExtent b="0" l="0" r="0" t="0"/>
            <wp:docPr id="42" name="image36.png"/>
            <a:graphic>
              <a:graphicData uri="http://schemas.openxmlformats.org/drawingml/2006/picture">
                <pic:pic>
                  <pic:nvPicPr>
                    <pic:cNvPr id="0" name="image36.png"/>
                    <pic:cNvPicPr preferRelativeResize="0"/>
                  </pic:nvPicPr>
                  <pic:blipFill>
                    <a:blip r:embed="rId41"/>
                    <a:srcRect b="0" l="0" r="0" t="0"/>
                    <a:stretch>
                      <a:fillRect/>
                    </a:stretch>
                  </pic:blipFill>
                  <pic:spPr>
                    <a:xfrm>
                      <a:off x="0" y="0"/>
                      <a:ext cx="5905500" cy="4455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Captures top-side liquidity sweeps and aggressive seller defense. A high ratio (e.g., &gt; 0.7) quantitatively identifies Shooting Star or Gravestone Doji morphologies without requiring rigid categorical if/then rules.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Lower Rejection Ratio (</w:t>
      </w:r>
      <w:r w:rsidDel="00000000" w:rsidR="00000000" w:rsidRPr="00000000">
        <w:rPr>
          <w:rFonts w:ascii="Google Sans" w:cs="Google Sans" w:eastAsia="Google Sans" w:hAnsi="Google Sans"/>
          <w:b w:val="1"/>
          <w:bCs w:val="1"/>
          <w:color w:val="1f1f1f"/>
        </w:rPr>
        <w:drawing>
          <wp:inline distB="19050" distT="19050" distL="19050" distR="19050">
            <wp:extent cx="470744" cy="230568"/>
            <wp:effectExtent b="0" l="0" r="0" t="0"/>
            <wp:docPr id="45"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70744" cy="230568"/>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445586"/>
            <wp:effectExtent b="0" l="0" r="0" t="0"/>
            <wp:docPr id="46"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05500" cy="4455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Captures bottom-side support sweeps and buyer defense. A high value mathematically isolates Hammer and Pin Bar structures.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System A utilizes a local StandardScaler refitted inside the matching loop on the training database, these bounded ratios will normalize flawlessly alongside the scaled return variables.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distance calculation will remain anchored by the macro momentum, but the </w:t>
      </w:r>
      <w:r w:rsidDel="00000000" w:rsidR="00000000" w:rsidRPr="00000000">
        <w:rPr>
          <w:rFonts w:ascii="Google Sans" w:cs="Google Sans" w:eastAsia="Google Sans" w:hAnsi="Google Sans"/>
          <w:color w:val="1f1f1f"/>
        </w:rPr>
        <w:drawing>
          <wp:inline distB="19050" distT="19050" distL="19050" distR="19050">
            <wp:extent cx="402283" cy="229876"/>
            <wp:effectExtent b="0" l="0" r="0" t="0"/>
            <wp:docPr id="48"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02283" cy="229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75059" cy="228028"/>
            <wp:effectExtent b="0" l="0" r="0" t="0"/>
            <wp:docPr id="5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75059" cy="228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70744" cy="230568"/>
            <wp:effectExtent b="0" l="0" r="0" t="0"/>
            <wp:docPr id="53"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70744" cy="2305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coordinates will fine-tune the final neighbourhood radius, ensuring historical analogues match both multi-week macro momentum and specific intraday psychological microstructure.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Probability Calibration and Brier Skill Score Optimization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Translating multidimensional distance metrics into actionable algorithmic execution requires rigorous probability calibration. The paramount evaluation metric governing System A is the Brier Skill Score (BSS), a severe probabilistic scoring rule that evaluates binary outcomes (such as the target fwd_7d_up) by penalizing poor calibration and overconfidence.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Brier Score (BS) is defined as the mean squared difference between the predicted probability and the actual binary outcome.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total Brier score can be decomposed into Uncertainty plus Reliability minus Resolution.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Brier Skill Score quantifies the extent to which a forecast method improves the prediction compared to a reference forecast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3200"/>
            <wp:effectExtent b="0" l="0" r="0" t="0"/>
            <wp:docPr id="56"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905500" cy="4432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BSS greater than zero indicates that the model outperforms a naive climatological base-rate forecast.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System A currently operates with a peak BSS of -0.00192, presenting a highly specific 0.002 gap from the zero-barrier.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While the engine boasts an impressive 58.6% directional accuracy on confident signals, accuracy and BSS are mathematically orthogonal; a model can achieve high accuracy but generate poorly calibrated probabilities (e.g., predicting 95% certainty when historical evidence implies 60%), resulting in severe BSS penalties.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comparative analysis highlights the utility of the "Fair Skill Brier Score," which adjusts scores to fairly compare experts forecasting events with different numbers of outcomes, ensuring that models predicting highly volatile or complex datasets are accurately compensated for added difficulty.</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Platt Scaling vs. Isotonic Regression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 currently relies on Platt Scaling (utilizing a calibration fraction of 0.50) to remap the raw probability distributions extracted from the KNN ensemble.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Platt Scaling applies a parametric sigmoid transformation to the classifier outputs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37444"/>
            <wp:effectExtent b="0" l="0" r="0" t="0"/>
            <wp:docPr id="58"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905500" cy="437444"/>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method assumes the relationship between the uncalibrated scores and true probabilities is roughly sigmoidal.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Because the transformation preserves the order of confidence scores, ranking metrics such as AUROC (Area Under the Receiver Operating Characteristic) remain perfectly preserved while minimizing the Expected Calibration Error (ECE).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for non-parametric machine learning frameworks such as KNN, Platt Scaling occasionally underperforms or exacerbates miscalibration due to its rigid parametric assumptions.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Isotonic Regression presents a superior non-parametric alternative. It solves a constrained optimization problem to fit a piecewise constant, monotonically increasing function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2270"/>
            <wp:effectExtent b="0" l="0" r="0" t="0"/>
            <wp:docPr id="60" name="image42.png"/>
            <a:graphic>
              <a:graphicData uri="http://schemas.openxmlformats.org/drawingml/2006/picture">
                <pic:pic>
                  <pic:nvPicPr>
                    <pic:cNvPr id="0" name="image42.png"/>
                    <pic:cNvPicPr preferRelativeResize="0"/>
                  </pic:nvPicPr>
                  <pic:blipFill>
                    <a:blip r:embed="rId46"/>
                    <a:srcRect b="0" l="0" r="0" t="0"/>
                    <a:stretch>
                      <a:fillRect/>
                    </a:stretch>
                  </pic:blipFill>
                  <pic:spPr>
                    <a:xfrm>
                      <a:off x="0" y="0"/>
                      <a:ext cx="5905500" cy="51227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Isotonic Regression mitigates complex, non-sigmoidal data distributions inherently generated by nearest-neighbour cluster matching. Empirical evaluations of calibration workflows demonstrate that while Isotonic Regression demands larger sample sizes to prevent overfitting, it consistently achieves greater average reductions in Brier Score and log-loss compared to Platt Scaling when applied to distance-based classifiers.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Consequently, bridging System A's final 0.002 BSS gap necessitates testing an expansion of the Platt calibration fraction or substituting the sigmoid function entirely with Isotonic Regression.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Engineering and Implementation Roadmap</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Deploying theoretical frameworks into live execution environments inherently exposes the pipeline to structural coding failures. Documented evaluations of analogous system builds frequently highlight software integration bugs, specifically referencing "Bug #7", which involves catastrophic shape-mismatch logic, incorrect array randomizer sequences, and erroneous implementations of long double-type subtractions resulting in complete pipeline corruption or silent data degradation.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Furthermore, System A has historically flagged pipeline interruptions related to joblib deadlocks on Windows environments during chunked pairwise distance calculations, necessitating the pipeline be permanently locked to NN_JOBS = 1 while utilizing a batched query methodology to achieve runtime speedups.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mathematical stability while pushing the BSS into positive territory, the integration of the Continuous Shape Vector must follow a strict, sequentially validated roadmap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Feature Vector Construction (prepare.py)</w:t>
      </w:r>
      <w:r w:rsidDel="00000000" w:rsidR="00000000" w:rsidRPr="00000000">
        <w:rPr>
          <w:rFonts w:ascii="Google Sans" w:cs="Google Sans" w:eastAsia="Google Sans" w:hAnsi="Google Sans"/>
          <w:color w:val="1f1f1f"/>
          <w:rtl w:val="0"/>
        </w:rPr>
        <w:t xml:space="preserve">: Construct the continuous </w:t>
      </w:r>
      <w:r w:rsidDel="00000000" w:rsidR="00000000" w:rsidRPr="00000000">
        <w:rPr>
          <w:rFonts w:ascii="Google Sans" w:cs="Google Sans" w:eastAsia="Google Sans" w:hAnsi="Google Sans"/>
          <w:color w:val="1f1f1f"/>
        </w:rPr>
        <w:drawing>
          <wp:inline distB="19050" distT="19050" distL="19050" distR="19050">
            <wp:extent cx="402283" cy="229876"/>
            <wp:effectExtent b="0" l="0" r="0" t="0"/>
            <wp:docPr id="62"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402283" cy="2298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75059" cy="228028"/>
            <wp:effectExtent b="0" l="0" r="0" t="0"/>
            <wp:docPr id="41"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75059" cy="228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470744" cy="230568"/>
            <wp:effectExtent b="0" l="0" r="0" t="0"/>
            <wp:docPr id="2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470744" cy="2305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features. To prevent fatal NaN poisoning—which occurs when total intra-period volatility (</w:t>
      </w:r>
      <w:r w:rsidDel="00000000" w:rsidR="00000000" w:rsidRPr="00000000">
        <w:rPr>
          <w:rFonts w:ascii="Google Sans" w:cs="Google Sans" w:eastAsia="Google Sans" w:hAnsi="Google Sans"/>
          <w:color w:val="1f1f1f"/>
        </w:rPr>
        <w:drawing>
          <wp:inline distB="19050" distT="19050" distL="19050" distR="19050">
            <wp:extent cx="519113" cy="226522"/>
            <wp:effectExtent b="0" l="0" r="0" t="0"/>
            <wp:docPr id="2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19113" cy="2265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equals zero—strict zero-division logic via np.where guards must default the shape arrays to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3"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Topological Normalization Validation</w:t>
      </w:r>
      <w:r w:rsidDel="00000000" w:rsidR="00000000" w:rsidRPr="00000000">
        <w:rPr>
          <w:rFonts w:ascii="Google Sans" w:cs="Google Sans" w:eastAsia="Google Sans" w:hAnsi="Google Sans"/>
          <w:color w:val="1f1f1f"/>
          <w:rtl w:val="0"/>
        </w:rPr>
        <w:t xml:space="preserve">: Ensure the localized StandardScaler instantiated inside _run_matching_loop flawlessly encompasses the new 11-column feature matrix, directly mitigating the documented shape-mismatch bugs observed in prior builds.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Distance Geometry Recalibration</w:t>
      </w:r>
      <w:r w:rsidDel="00000000" w:rsidR="00000000" w:rsidRPr="00000000">
        <w:rPr>
          <w:rFonts w:ascii="Google Sans" w:cs="Google Sans" w:eastAsia="Google Sans" w:hAnsi="Google Sans"/>
          <w:color w:val="1f1f1f"/>
          <w:rtl w:val="0"/>
        </w:rPr>
        <w:t xml:space="preserve">: Execute diagnostic scripts over the expanded 11-feature space to identify the new 25th percentile threshold. The addition of three spatial dimensions natively expands absolute Euclidean distances, requiring the archaic rigid limit (MAX_DISTANCE = 1.2457) to be updated.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Iterative Feature Ablation (strategy_overnight.py)</w:t>
      </w:r>
      <w:r w:rsidDel="00000000" w:rsidR="00000000" w:rsidRPr="00000000">
        <w:rPr>
          <w:rFonts w:ascii="Google Sans" w:cs="Google Sans" w:eastAsia="Google Sans" w:hAnsi="Google Sans"/>
          <w:color w:val="1f1f1f"/>
          <w:rtl w:val="0"/>
        </w:rPr>
        <w:t xml:space="preserve">: Initiate an automated overnight loop systematically testing feature weights applied to the candlestick ratios from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5"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235744" cy="216884"/>
            <wp:effectExtent b="0" l="0" r="0" t="0"/>
            <wp:docPr id="27"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235744" cy="216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empirically logging the marginal value contribution against the BSS.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Advanced Calibration Sweep</w:t>
      </w:r>
      <w:r w:rsidDel="00000000" w:rsidR="00000000" w:rsidRPr="00000000">
        <w:rPr>
          <w:rFonts w:ascii="Google Sans" w:cs="Google Sans" w:eastAsia="Google Sans" w:hAnsi="Google Sans"/>
          <w:color w:val="1f1f1f"/>
          <w:rtl w:val="0"/>
        </w:rPr>
        <w:t xml:space="preserve">: Benchmark Platt Scaling (cal_frac ranging from 0.50 to 0.80) directly against Isotonic Regression to definitively cross the 0.000 BSS threshold.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successful prediction of financial asset prices requires transcending basic chronological time series analysis. By quantifying market microstructure into continuous spatial vectors, modeling macroeconomic liquidity via the Hurst exponent, and employing Topological Data Analysis to extract early warning signals, algorithmic frameworks can systematically process both granular institutional order flow and macro-systemic crash probabilities. For architectures like System A, relying purely on normalized closing returns invites Euclidean distance saturation, conflating structures of accumulation with aggressive distribution. Integrating continuous shape tensors ensures historical analogues match both macro-momentum and exact localized psychological capitulation, providing the structural integrity necessary to build a highly calibrated forecasting engine.</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Stock Prediction Methods Report</w:t>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TradeFM: A Generative Foundation Model for Trade-flow and Market Microstructure - arXiv.org, accessed March 16, 2026, </w:t>
      </w:r>
      <w:hyperlink r:id="rId49">
        <w:r w:rsidDel="00000000" w:rsidR="00000000" w:rsidRPr="00000000">
          <w:rPr>
            <w:rFonts w:ascii="Google Sans" w:cs="Google Sans" w:eastAsia="Google Sans" w:hAnsi="Google Sans"/>
            <w:color w:val="0000ee"/>
            <w:sz w:val="24"/>
            <w:szCs w:val="24"/>
            <w:u w:val="single"/>
            <w:rtl w:val="0"/>
          </w:rPr>
          <w:t xml:space="preserve">https://arxiv.org/html/2602.23784v1</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Stock Prediction with Candlesticks</w:t>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Microstructure And Order Flow In CFD Trading - Equiti, accessed March 16, 2026, </w:t>
      </w:r>
      <w:hyperlink r:id="rId50">
        <w:r w:rsidDel="00000000" w:rsidR="00000000" w:rsidRPr="00000000">
          <w:rPr>
            <w:rFonts w:ascii="Google Sans" w:cs="Google Sans" w:eastAsia="Google Sans" w:hAnsi="Google Sans"/>
            <w:color w:val="0000ee"/>
            <w:sz w:val="24"/>
            <w:szCs w:val="24"/>
            <w:u w:val="single"/>
            <w:rtl w:val="0"/>
          </w:rPr>
          <w:t xml:space="preserve">https://www.equiti.com/sc-en/education/market-analysis/order-flow-and-market-microstructure/</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Resilience of Order Flow - Strange Matters,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https://strangematters.coop/how-financial-markets-work-market-microstructure-order-flow-theorists/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ESSAYS ON OPTIMAL PORTFOLIO STRATEGIES A Dissertation Submitted to the Temple University Graduate Board In Partial Fulfillment o, accessed March 16, 2026, </w:t>
      </w:r>
      <w:hyperlink r:id="rId52">
        <w:r w:rsidDel="00000000" w:rsidR="00000000" w:rsidRPr="00000000">
          <w:rPr>
            <w:rFonts w:ascii="Google Sans" w:cs="Google Sans" w:eastAsia="Google Sans" w:hAnsi="Google Sans"/>
            <w:color w:val="0000ee"/>
            <w:sz w:val="24"/>
            <w:szCs w:val="24"/>
            <w:u w:val="single"/>
            <w:rtl w:val="0"/>
          </w:rPr>
          <w:t xml:space="preserve">https://scholarshare.temple.edu/bitstreams/89f379e0-4e4f-4ec3-9a53-5cfb68c595f4/download</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Extreme Events in the Stock Market: A Topological Data Analysis - arXiv.org, accessed March 16, 2026, </w:t>
      </w:r>
      <w:hyperlink r:id="rId53">
        <w:r w:rsidDel="00000000" w:rsidR="00000000" w:rsidRPr="00000000">
          <w:rPr>
            <w:rFonts w:ascii="Google Sans" w:cs="Google Sans" w:eastAsia="Google Sans" w:hAnsi="Google Sans"/>
            <w:color w:val="0000ee"/>
            <w:sz w:val="24"/>
            <w:szCs w:val="24"/>
            <w:u w:val="single"/>
            <w:rtl w:val="0"/>
          </w:rPr>
          <w:t xml:space="preserve">https://arxiv.org/html/2405.16052v1</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Point Detection in Financial Market Using Topological Data Analysis - MDPI, accessed March 16, 2026, </w:t>
      </w:r>
      <w:hyperlink r:id="rId54">
        <w:r w:rsidDel="00000000" w:rsidR="00000000" w:rsidRPr="00000000">
          <w:rPr>
            <w:rFonts w:ascii="Google Sans" w:cs="Google Sans" w:eastAsia="Google Sans" w:hAnsi="Google Sans"/>
            <w:color w:val="0000ee"/>
            <w:sz w:val="24"/>
            <w:szCs w:val="24"/>
            <w:u w:val="single"/>
            <w:rtl w:val="0"/>
          </w:rPr>
          <w:t xml:space="preserve">https://www.mdpi.com/2079-8954/13/10/875</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Machine Learning for Financial Crisis Detection: Early ..., accessed March 16, 2026, </w:t>
      </w:r>
      <w:hyperlink r:id="rId55">
        <w:r w:rsidDel="00000000" w:rsidR="00000000" w:rsidRPr="00000000">
          <w:rPr>
            <w:rFonts w:ascii="Google Sans" w:cs="Google Sans" w:eastAsia="Google Sans" w:hAnsi="Google Sans"/>
            <w:color w:val="0000ee"/>
            <w:sz w:val="24"/>
            <w:szCs w:val="24"/>
            <w:u w:val="single"/>
            <w:rtl w:val="0"/>
          </w:rPr>
          <w:t xml:space="preserve">https://www.mdpi.com/2073-431X/14/10/408</w:t>
        </w:r>
      </w:hyperlink>
      <w:r w:rsidDel="00000000" w:rsidR="00000000" w:rsidRPr="00000000">
        <w:rPr>
          <w:rtl w:val="0"/>
        </w:rPr>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Early Warning Signals of Financial Crises Using Persistent Homology and Critical Slowing Down: Evidence From Different Correlation Tests - Frontiers, accessed March 16, 2026, </w:t>
      </w:r>
      <w:hyperlink r:id="rId56">
        <w:r w:rsidDel="00000000" w:rsidR="00000000" w:rsidRPr="00000000">
          <w:rPr>
            <w:rFonts w:ascii="Google Sans" w:cs="Google Sans" w:eastAsia="Google Sans" w:hAnsi="Google Sans"/>
            <w:color w:val="0000ee"/>
            <w:sz w:val="24"/>
            <w:szCs w:val="24"/>
            <w:u w:val="single"/>
            <w:rtl w:val="0"/>
          </w:rPr>
          <w:t xml:space="preserve">https://www.frontiersin.org/journals/applied-mathematics-and-statistics/articles/10.3389/fams.2022.940133/full</w:t>
        </w:r>
      </w:hyperlink>
      <w:r w:rsidDel="00000000" w:rsidR="00000000" w:rsidRPr="00000000">
        <w:rPr>
          <w:rtl w:val="0"/>
        </w:rPr>
      </w:r>
    </w:p>
    <w:p w:rsidR="00000000" w:rsidDel="00000000" w:rsidP="00000000" w:rsidRDefault="00000000" w:rsidRPr="00000000" w14:paraId="000000E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Topology Data Analysis Using Mean Persistence Landscapes in Financial Crashes, accessed March 16, 2026, </w:t>
      </w:r>
      <w:hyperlink r:id="rId57">
        <w:r w:rsidDel="00000000" w:rsidR="00000000" w:rsidRPr="00000000">
          <w:rPr>
            <w:rFonts w:ascii="Google Sans" w:cs="Google Sans" w:eastAsia="Google Sans" w:hAnsi="Google Sans"/>
            <w:color w:val="0000ee"/>
            <w:sz w:val="24"/>
            <w:szCs w:val="24"/>
            <w:u w:val="single"/>
            <w:rtl w:val="0"/>
          </w:rPr>
          <w:t xml:space="preserve">https://www.researchgate.net/publication/346704819_Topology_Data_Analysis_Using_Mean_Persistence_Landscapes_in_Financial_Crashes</w:t>
        </w:r>
      </w:hyperlink>
      <w:r w:rsidDel="00000000" w:rsidR="00000000" w:rsidRPr="00000000">
        <w:rPr>
          <w:rtl w:val="0"/>
        </w:rPr>
      </w:r>
    </w:p>
    <w:p w:rsidR="00000000" w:rsidDel="00000000" w:rsidP="00000000" w:rsidRDefault="00000000" w:rsidRPr="00000000" w14:paraId="000000E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financial time series forecasting through topological data analysis, accessed March 16, 2026, </w:t>
      </w:r>
      <w:hyperlink r:id="rId58">
        <w:r w:rsidDel="00000000" w:rsidR="00000000" w:rsidRPr="00000000">
          <w:rPr>
            <w:rFonts w:ascii="Google Sans" w:cs="Google Sans" w:eastAsia="Google Sans" w:hAnsi="Google Sans"/>
            <w:color w:val="0000ee"/>
            <w:sz w:val="24"/>
            <w:szCs w:val="24"/>
            <w:u w:val="single"/>
            <w:rtl w:val="0"/>
          </w:rPr>
          <w:t xml:space="preserve">https://d-nb.info/1370140673/34</w:t>
        </w:r>
      </w:hyperlink>
      <w:r w:rsidDel="00000000" w:rsidR="00000000" w:rsidRPr="00000000">
        <w:rPr>
          <w:rtl w:val="0"/>
        </w:rPr>
      </w:r>
    </w:p>
    <w:p w:rsidR="00000000" w:rsidDel="00000000" w:rsidP="00000000" w:rsidRDefault="00000000" w:rsidRPr="00000000" w14:paraId="000000E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financial time series forecasting through topological data analysis, accessed March 16, 2026,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https://www.researchgate.net/publication/388110176_Enhancing_financial_time_series_forecasting_through_topological_data_analysis</w:t>
        </w:r>
      </w:hyperlink>
      <w:r w:rsidDel="00000000" w:rsidR="00000000" w:rsidRPr="00000000">
        <w:rPr>
          <w:rtl w:val="0"/>
        </w:rPr>
      </w:r>
    </w:p>
    <w:p w:rsidR="00000000" w:rsidDel="00000000" w:rsidP="00000000" w:rsidRDefault="00000000" w:rsidRPr="00000000" w14:paraId="000000E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Dimensionality Affects Data Needs for KNN | by Raghda Al taei | Medium, accessed March 16, 2026, </w:t>
      </w:r>
      <w:hyperlink r:id="rId60">
        <w:r w:rsidDel="00000000" w:rsidR="00000000" w:rsidRPr="00000000">
          <w:rPr>
            <w:rFonts w:ascii="Google Sans" w:cs="Google Sans" w:eastAsia="Google Sans" w:hAnsi="Google Sans"/>
            <w:color w:val="0000ee"/>
            <w:sz w:val="24"/>
            <w:szCs w:val="24"/>
            <w:u w:val="single"/>
            <w:rtl w:val="0"/>
          </w:rPr>
          <w:t xml:space="preserve">https://raghda-altaei.medium.com/how-dimensionality-affects-data-needs-for-knn-1c81a56ee98f</w:t>
        </w:r>
      </w:hyperlink>
      <w:r w:rsidDel="00000000" w:rsidR="00000000" w:rsidRPr="00000000">
        <w:rPr>
          <w:rtl w:val="0"/>
        </w:rPr>
      </w:r>
    </w:p>
    <w:p w:rsidR="00000000" w:rsidDel="00000000" w:rsidP="00000000" w:rsidRDefault="00000000" w:rsidRPr="00000000" w14:paraId="000000F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Dimensionality Reduction by Unsupervised K-Nearest Neighbor Regression | Request PDF, accessed March 16, 2026,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https://www.researchgate.net/publication/254051502_Dimensionality_Reduction_by_Unsupervised_K-Nearest_Neighbor_Regression</w:t>
        </w:r>
      </w:hyperlink>
      <w:r w:rsidDel="00000000" w:rsidR="00000000" w:rsidRPr="00000000">
        <w:rPr>
          <w:rtl w:val="0"/>
        </w:rPr>
      </w:r>
    </w:p>
    <w:p w:rsidR="00000000" w:rsidDel="00000000" w:rsidP="00000000" w:rsidRDefault="00000000" w:rsidRPr="00000000" w14:paraId="000000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Orderly Disorder in Point Cloud Domain - ResearchGate, accessed March 16, 2026,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https://www.researchgate.net/publication/343849931_Orderly_Disorder_in_Point_Cloud_Domain</w:t>
        </w:r>
      </w:hyperlink>
      <w:r w:rsidDel="00000000" w:rsidR="00000000" w:rsidRPr="00000000">
        <w:rPr>
          <w:rtl w:val="0"/>
        </w:rPr>
      </w:r>
    </w:p>
    <w:p w:rsidR="00000000" w:rsidDel="00000000" w:rsidP="00000000" w:rsidRDefault="00000000" w:rsidRPr="00000000" w14:paraId="000000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k-nearest neighbors to time series forecasting: two new approaches - arXiv, accessed March 16, 2026, </w:t>
      </w:r>
      <w:hyperlink r:id="rId63">
        <w:r w:rsidDel="00000000" w:rsidR="00000000" w:rsidRPr="00000000">
          <w:rPr>
            <w:rFonts w:ascii="Google Sans" w:cs="Google Sans" w:eastAsia="Google Sans" w:hAnsi="Google Sans"/>
            <w:color w:val="0000ee"/>
            <w:sz w:val="24"/>
            <w:szCs w:val="24"/>
            <w:u w:val="single"/>
            <w:rtl w:val="0"/>
          </w:rPr>
          <w:t xml:space="preserve">https://arxiv.org/pdf/2103.14200</w:t>
        </w:r>
      </w:hyperlink>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Modified Brier score for evaluating prediction accuracy for binary outcomes - PMC, accessed March 16, 2026, </w:t>
      </w:r>
      <w:hyperlink r:id="rId64">
        <w:r w:rsidDel="00000000" w:rsidR="00000000" w:rsidRPr="00000000">
          <w:rPr>
            <w:rFonts w:ascii="Google Sans" w:cs="Google Sans" w:eastAsia="Google Sans" w:hAnsi="Google Sans"/>
            <w:color w:val="0000ee"/>
            <w:sz w:val="24"/>
            <w:szCs w:val="24"/>
            <w:u w:val="single"/>
            <w:rtl w:val="0"/>
          </w:rPr>
          <w:t xml:space="preserve">https://pmc.ncbi.nlm.nih.gov/articles/PMC9691523/</w:t>
        </w:r>
      </w:hyperlink>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Eliciting and Aggregating Forecasts When Information is Shared - DukeSpace, accessed March 16, 2026, </w:t>
      </w:r>
      <w:hyperlink r:id="rId65">
        <w:r w:rsidDel="00000000" w:rsidR="00000000" w:rsidRPr="00000000">
          <w:rPr>
            <w:rFonts w:ascii="Google Sans" w:cs="Google Sans" w:eastAsia="Google Sans" w:hAnsi="Google Sans"/>
            <w:color w:val="0000ee"/>
            <w:sz w:val="24"/>
            <w:szCs w:val="24"/>
            <w:u w:val="single"/>
            <w:rtl w:val="0"/>
          </w:rPr>
          <w:t xml:space="preserve">https://dukespace.lib.duke.edu/server/api/core/bitstreams/5205465d-e4b5-4ebb-8d27-a3331fe4aea4/content</w:t>
        </w:r>
      </w:hyperlink>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Generating Wind Power Scenarios for Probabilistic Ramp Event Prediction Using Multivariate Statistical Post-Processing - Publications, accessed March 16, 2026, </w:t>
      </w:r>
      <w:hyperlink r:id="rId66">
        <w:r w:rsidDel="00000000" w:rsidR="00000000" w:rsidRPr="00000000">
          <w:rPr>
            <w:rFonts w:ascii="Google Sans" w:cs="Google Sans" w:eastAsia="Google Sans" w:hAnsi="Google Sans"/>
            <w:color w:val="0000ee"/>
            <w:sz w:val="24"/>
            <w:szCs w:val="24"/>
            <w:u w:val="single"/>
            <w:rtl w:val="0"/>
          </w:rPr>
          <w:t xml:space="preserve">https://docs.nrel.gov/docs/fy18osti/72520.pdf</w:t>
        </w:r>
      </w:hyperlink>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Skill Brier Score: Evaluating Probabilistic Forecasts of ... - INSEAD, accessed March 16, 2026, </w:t>
      </w:r>
      <w:hyperlink r:id="rId67">
        <w:r w:rsidDel="00000000" w:rsidR="00000000" w:rsidRPr="00000000">
          <w:rPr>
            <w:rFonts w:ascii="Google Sans" w:cs="Google Sans" w:eastAsia="Google Sans" w:hAnsi="Google Sans"/>
            <w:color w:val="0000ee"/>
            <w:sz w:val="24"/>
            <w:szCs w:val="24"/>
            <w:u w:val="single"/>
            <w:rtl w:val="0"/>
          </w:rPr>
          <w:t xml:space="preserve">https://sites.insead.edu/facultyresearch/research/doc.cfm?did=70675&amp;&amp;utm_medium=direct</w:t>
        </w:r>
      </w:hyperlink>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Calibration Meets Reality: Making Machine Learning Predictions Trustworthy - arXiv, accessed March 16, 2026, </w:t>
      </w:r>
      <w:hyperlink r:id="rId68">
        <w:r w:rsidDel="00000000" w:rsidR="00000000" w:rsidRPr="00000000">
          <w:rPr>
            <w:rFonts w:ascii="Google Sans" w:cs="Google Sans" w:eastAsia="Google Sans" w:hAnsi="Google Sans"/>
            <w:color w:val="0000ee"/>
            <w:sz w:val="24"/>
            <w:szCs w:val="24"/>
            <w:u w:val="single"/>
            <w:rtl w:val="0"/>
          </w:rPr>
          <w:t xml:space="preserve">https://arxiv.org/html/2509.23665v1</w:t>
        </w:r>
      </w:hyperlink>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Platt scaling - Wikipedia, accessed March 16, 2026, </w:t>
      </w:r>
      <w:hyperlink r:id="rId69">
        <w:r w:rsidDel="00000000" w:rsidR="00000000" w:rsidRPr="00000000">
          <w:rPr>
            <w:rFonts w:ascii="Google Sans" w:cs="Google Sans" w:eastAsia="Google Sans" w:hAnsi="Google Sans"/>
            <w:color w:val="0000ee"/>
            <w:sz w:val="24"/>
            <w:szCs w:val="24"/>
            <w:u w:val="single"/>
            <w:rtl w:val="0"/>
          </w:rPr>
          <w:t xml:space="preserve">https://en.wikipedia.org/wiki/Platt_scaling</w:t>
        </w:r>
      </w:hyperlink>
      <w:r w:rsidDel="00000000" w:rsidR="00000000" w:rsidRPr="00000000">
        <w:rPr>
          <w:rtl w:val="0"/>
        </w:rPr>
      </w:r>
    </w:p>
    <w:p w:rsidR="00000000" w:rsidDel="00000000" w:rsidP="00000000" w:rsidRDefault="00000000" w:rsidRPr="00000000" w14:paraId="000000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Model Calibration in Machine Learning | by Sahil Bansal - Medium, accessed March 16, 2026, </w:t>
      </w:r>
      <w:hyperlink r:id="rId70">
        <w:r w:rsidDel="00000000" w:rsidR="00000000" w:rsidRPr="00000000">
          <w:rPr>
            <w:rFonts w:ascii="Google Sans" w:cs="Google Sans" w:eastAsia="Google Sans" w:hAnsi="Google Sans"/>
            <w:color w:val="0000ee"/>
            <w:sz w:val="24"/>
            <w:szCs w:val="24"/>
            <w:u w:val="single"/>
            <w:rtl w:val="0"/>
          </w:rPr>
          <w:t xml:space="preserve">https://medium.com/@sahilbansal480/understanding-model-calibration-in-machine-learning-6701814dbb3a</w:t>
        </w:r>
      </w:hyperlink>
      <w:r w:rsidDel="00000000" w:rsidR="00000000" w:rsidRPr="00000000">
        <w:rPr>
          <w:rtl w:val="0"/>
        </w:rPr>
      </w:r>
    </w:p>
    <w:p w:rsidR="00000000" w:rsidDel="00000000" w:rsidP="00000000" w:rsidRDefault="00000000" w:rsidRPr="00000000" w14:paraId="000000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uncertainty quantification: A post hoc calibration approach for heart disease prediction - medRxiv.org, accessed March 16, 2026, </w:t>
      </w:r>
      <w:hyperlink r:id="rId71">
        <w:r w:rsidDel="00000000" w:rsidR="00000000" w:rsidRPr="00000000">
          <w:rPr>
            <w:rFonts w:ascii="Google Sans" w:cs="Google Sans" w:eastAsia="Google Sans" w:hAnsi="Google Sans"/>
            <w:color w:val="0000ee"/>
            <w:sz w:val="24"/>
            <w:szCs w:val="24"/>
            <w:u w:val="single"/>
            <w:rtl w:val="0"/>
          </w:rPr>
          <w:t xml:space="preserve">https://www.medrxiv.org/content/10.1101/2025.09.28.25336834v1.full-text</w:t>
        </w:r>
      </w:hyperlink>
      <w:r w:rsidDel="00000000" w:rsidR="00000000" w:rsidRPr="00000000">
        <w:rPr>
          <w:rtl w:val="0"/>
        </w:rPr>
      </w:r>
    </w:p>
    <w:p w:rsidR="00000000" w:rsidDel="00000000" w:rsidP="00000000" w:rsidRDefault="00000000" w:rsidRPr="00000000" w14:paraId="000000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Estimating Calibrated Risks Using Focal Loss and Gradient-Boosted Trees for Clinical Risk Prediction - MDPI, accessed March 16, 2026, </w:t>
      </w:r>
      <w:hyperlink r:id="rId72">
        <w:r w:rsidDel="00000000" w:rsidR="00000000" w:rsidRPr="00000000">
          <w:rPr>
            <w:rFonts w:ascii="Google Sans" w:cs="Google Sans" w:eastAsia="Google Sans" w:hAnsi="Google Sans"/>
            <w:color w:val="0000ee"/>
            <w:sz w:val="24"/>
            <w:szCs w:val="24"/>
            <w:u w:val="single"/>
            <w:rtl w:val="0"/>
          </w:rPr>
          <w:t xml:space="preserve">https://www.mdpi.com/2079-9292/14/9/1838</w:t>
        </w:r>
      </w:hyperlink>
      <w:r w:rsidDel="00000000" w:rsidR="00000000" w:rsidRPr="00000000">
        <w:rPr>
          <w:rtl w:val="0"/>
        </w:rPr>
      </w:r>
    </w:p>
    <w:p w:rsidR="00000000" w:rsidDel="00000000" w:rsidP="00000000" w:rsidRDefault="00000000" w:rsidRPr="00000000" w14:paraId="000000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CaliForest: Calibrated Random Forest for Health Data - PMC - NIH, accessed March 16, 2026, </w:t>
      </w:r>
      <w:hyperlink r:id="rId73">
        <w:r w:rsidDel="00000000" w:rsidR="00000000" w:rsidRPr="00000000">
          <w:rPr>
            <w:rFonts w:ascii="Google Sans" w:cs="Google Sans" w:eastAsia="Google Sans" w:hAnsi="Google Sans"/>
            <w:color w:val="0000ee"/>
            <w:sz w:val="24"/>
            <w:szCs w:val="24"/>
            <w:u w:val="single"/>
            <w:rtl w:val="0"/>
          </w:rPr>
          <w:t xml:space="preserve">https://pmc.ncbi.nlm.nih.gov/articles/PMC8299436/</w:t>
        </w:r>
      </w:hyperlink>
      <w:r w:rsidDel="00000000" w:rsidR="00000000" w:rsidRPr="00000000">
        <w:rPr>
          <w:rtl w:val="0"/>
        </w:rPr>
      </w:r>
    </w:p>
    <w:p w:rsidR="00000000" w:rsidDel="00000000" w:rsidP="00000000" w:rsidRDefault="00000000" w:rsidRPr="00000000" w14:paraId="000000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Uncertainty to Precision: Enhancing Binary Classifier Performance through Calibration - Working Papers / Documents de travail, accessed March 16, 2026, </w:t>
      </w:r>
      <w:hyperlink r:id="rId74">
        <w:r w:rsidDel="00000000" w:rsidR="00000000" w:rsidRPr="00000000">
          <w:rPr>
            <w:rFonts w:ascii="Google Sans" w:cs="Google Sans" w:eastAsia="Google Sans" w:hAnsi="Google Sans"/>
            <w:color w:val="0000ee"/>
            <w:sz w:val="24"/>
            <w:szCs w:val="24"/>
            <w:u w:val="single"/>
            <w:rtl w:val="0"/>
          </w:rPr>
          <w:t xml:space="preserve">https://www.amse-aixmarseille.fr/sites/default/files/working_papers/wp_2024_-_nr_04.pdf</w:t>
        </w:r>
      </w:hyperlink>
      <w:r w:rsidDel="00000000" w:rsidR="00000000" w:rsidRPr="00000000">
        <w:rPr>
          <w:rtl w:val="0"/>
        </w:rPr>
      </w:r>
    </w:p>
    <w:p w:rsidR="00000000" w:rsidDel="00000000" w:rsidP="00000000" w:rsidRDefault="00000000" w:rsidRPr="00000000" w14:paraId="000000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Algorithmic Bias Through Probability Calibration: A Case Study on Lead Generation Data - MDPI, accessed March 16, 2026, </w:t>
      </w:r>
      <w:hyperlink r:id="rId75">
        <w:r w:rsidDel="00000000" w:rsidR="00000000" w:rsidRPr="00000000">
          <w:rPr>
            <w:rFonts w:ascii="Google Sans" w:cs="Google Sans" w:eastAsia="Google Sans" w:hAnsi="Google Sans"/>
            <w:color w:val="0000ee"/>
            <w:sz w:val="24"/>
            <w:szCs w:val="24"/>
            <w:u w:val="single"/>
            <w:rtl w:val="0"/>
          </w:rPr>
          <w:t xml:space="preserve">https://www.mdpi.com/2227-7390/13/13/2183</w:t>
        </w:r>
      </w:hyperlink>
      <w:r w:rsidDel="00000000" w:rsidR="00000000" w:rsidRPr="00000000">
        <w:rPr>
          <w:rtl w:val="0"/>
        </w:rPr>
      </w:r>
    </w:p>
    <w:p w:rsidR="00000000" w:rsidDel="00000000" w:rsidP="00000000" w:rsidRDefault="00000000" w:rsidRPr="00000000" w14:paraId="000000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tutorial on calibration measurements and calibration models for clinical prediction models - PMC, accessed March 16, 2026, </w:t>
      </w:r>
      <w:hyperlink r:id="rId76">
        <w:r w:rsidDel="00000000" w:rsidR="00000000" w:rsidRPr="00000000">
          <w:rPr>
            <w:rFonts w:ascii="Google Sans" w:cs="Google Sans" w:eastAsia="Google Sans" w:hAnsi="Google Sans"/>
            <w:color w:val="0000ee"/>
            <w:sz w:val="24"/>
            <w:szCs w:val="24"/>
            <w:u w:val="single"/>
            <w:rtl w:val="0"/>
          </w:rPr>
          <w:t xml:space="preserve">https://pmc.ncbi.nlm.nih.gov/articles/PMC7075534/</w:t>
        </w:r>
      </w:hyperlink>
      <w:r w:rsidDel="00000000" w:rsidR="00000000" w:rsidRPr="00000000">
        <w:rPr>
          <w:rtl w:val="0"/>
        </w:rPr>
      </w:r>
    </w:p>
    <w:p w:rsidR="00000000" w:rsidDel="00000000" w:rsidP="00000000" w:rsidRDefault="00000000" w:rsidRPr="00000000" w14:paraId="000001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haifuraiya | Open Research Institute, accessed March 16, 2026, </w:t>
      </w:r>
      <w:hyperlink r:id="rId77">
        <w:r w:rsidDel="00000000" w:rsidR="00000000" w:rsidRPr="00000000">
          <w:rPr>
            <w:rFonts w:ascii="Google Sans" w:cs="Google Sans" w:eastAsia="Google Sans" w:hAnsi="Google Sans"/>
            <w:color w:val="0000ee"/>
            <w:sz w:val="24"/>
            <w:szCs w:val="24"/>
            <w:u w:val="single"/>
            <w:rtl w:val="0"/>
          </w:rPr>
          <w:t xml:space="preserve">https://www.openresearch.institute/tag/haifuraiya/</w:t>
        </w:r>
      </w:hyperlink>
      <w:r w:rsidDel="00000000" w:rsidR="00000000" w:rsidRPr="00000000">
        <w:rPr>
          <w:rtl w:val="0"/>
        </w:rPr>
      </w:r>
    </w:p>
    <w:p w:rsidR="00000000" w:rsidDel="00000000" w:rsidP="00000000" w:rsidRDefault="00000000" w:rsidRPr="00000000" w14:paraId="000001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Enhancing Search-Based Testing with LLMs for Finding Bugs in System Simulators, accessed March 16, 2026, </w:t>
      </w:r>
      <w:hyperlink r:id="rId78">
        <w:r w:rsidDel="00000000" w:rsidR="00000000" w:rsidRPr="00000000">
          <w:rPr>
            <w:rFonts w:ascii="Google Sans" w:cs="Google Sans" w:eastAsia="Google Sans" w:hAnsi="Google Sans"/>
            <w:color w:val="0000ee"/>
            <w:sz w:val="24"/>
            <w:szCs w:val="24"/>
            <w:u w:val="single"/>
            <w:rtl w:val="0"/>
          </w:rPr>
          <w:t xml:space="preserve">https://www.researchgate.net/publication/384140516_Enhancing_Search-Based_Testing_with_LLMs_for_Finding_Bugs_in_System_Simulators</w:t>
        </w:r>
      </w:hyperlink>
      <w:r w:rsidDel="00000000" w:rsidR="00000000" w:rsidRPr="00000000">
        <w:rPr>
          <w:rtl w:val="0"/>
        </w:rPr>
      </w:r>
    </w:p>
    <w:p w:rsidR="00000000" w:rsidDel="00000000" w:rsidP="00000000" w:rsidRDefault="00000000" w:rsidRPr="00000000" w14:paraId="000001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search-based testing with LLMs for finding bugs in system simulators, accessed March 16, 2026, </w:t>
      </w:r>
      <w:hyperlink r:id="rId79">
        <w:r w:rsidDel="00000000" w:rsidR="00000000" w:rsidRPr="00000000">
          <w:rPr>
            <w:rFonts w:ascii="Google Sans" w:cs="Google Sans" w:eastAsia="Google Sans" w:hAnsi="Google Sans"/>
            <w:color w:val="0000ee"/>
            <w:sz w:val="24"/>
            <w:szCs w:val="24"/>
            <w:u w:val="single"/>
            <w:rtl w:val="0"/>
          </w:rPr>
          <w:t xml:space="preserve">https://www.researchgate.net/publication/393573131_Enhancing_search-based_testing_with_LLMs_for_finding_bugs_in_system_simulators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6.png"/><Relationship Id="rId41" Type="http://schemas.openxmlformats.org/officeDocument/2006/relationships/image" Target="media/image36.png"/><Relationship Id="rId44" Type="http://schemas.openxmlformats.org/officeDocument/2006/relationships/image" Target="media/image40.png"/><Relationship Id="rId43" Type="http://schemas.openxmlformats.org/officeDocument/2006/relationships/image" Target="media/image27.png"/><Relationship Id="rId46" Type="http://schemas.openxmlformats.org/officeDocument/2006/relationships/image" Target="media/image42.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image" Target="media/image23.png"/><Relationship Id="rId47" Type="http://schemas.openxmlformats.org/officeDocument/2006/relationships/image" Target="media/image18.png"/><Relationship Id="rId49" Type="http://schemas.openxmlformats.org/officeDocument/2006/relationships/hyperlink" Target="https://arxiv.org/html/2602.23784v1" TargetMode="External"/><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image" Target="media/image24.png"/><Relationship Id="rId8" Type="http://schemas.openxmlformats.org/officeDocument/2006/relationships/image" Target="media/image28.png"/><Relationship Id="rId73" Type="http://schemas.openxmlformats.org/officeDocument/2006/relationships/hyperlink" Target="https://pmc.ncbi.nlm.nih.gov/articles/PMC8299436/" TargetMode="External"/><Relationship Id="rId72" Type="http://schemas.openxmlformats.org/officeDocument/2006/relationships/hyperlink" Target="https://www.mdpi.com/2079-9292/14/9/1838" TargetMode="External"/><Relationship Id="rId31" Type="http://schemas.openxmlformats.org/officeDocument/2006/relationships/image" Target="media/image9.png"/><Relationship Id="rId75" Type="http://schemas.openxmlformats.org/officeDocument/2006/relationships/hyperlink" Target="https://www.mdpi.com/2227-7390/13/13/2183" TargetMode="External"/><Relationship Id="rId30" Type="http://schemas.openxmlformats.org/officeDocument/2006/relationships/image" Target="media/image19.png"/><Relationship Id="rId74" Type="http://schemas.openxmlformats.org/officeDocument/2006/relationships/hyperlink" Target="https://www.amse-aixmarseille.fr/sites/default/files/working_papers/wp_2024_-_nr_04.pdf" TargetMode="External"/><Relationship Id="rId33" Type="http://schemas.openxmlformats.org/officeDocument/2006/relationships/image" Target="media/image4.png"/><Relationship Id="rId77" Type="http://schemas.openxmlformats.org/officeDocument/2006/relationships/hyperlink" Target="https://www.openresearch.institute/tag/haifuraiya/" TargetMode="External"/><Relationship Id="rId32" Type="http://schemas.openxmlformats.org/officeDocument/2006/relationships/image" Target="media/image1.png"/><Relationship Id="rId76" Type="http://schemas.openxmlformats.org/officeDocument/2006/relationships/hyperlink" Target="https://pmc.ncbi.nlm.nih.gov/articles/PMC7075534/" TargetMode="External"/><Relationship Id="rId35" Type="http://schemas.openxmlformats.org/officeDocument/2006/relationships/image" Target="media/image10.png"/><Relationship Id="rId79" Type="http://schemas.openxmlformats.org/officeDocument/2006/relationships/hyperlink" Target="https://www.researchgate.net/publication/393573131_Enhancing_search-based_testing_with_LLMs_for_finding_bugs_in_system_simulators" TargetMode="External"/><Relationship Id="rId34" Type="http://schemas.openxmlformats.org/officeDocument/2006/relationships/image" Target="media/image33.png"/><Relationship Id="rId78" Type="http://schemas.openxmlformats.org/officeDocument/2006/relationships/hyperlink" Target="https://www.researchgate.net/publication/384140516_Enhancing_Search-Based_Testing_with_LLMs_for_Finding_Bugs_in_System_Simulators" TargetMode="External"/><Relationship Id="rId71" Type="http://schemas.openxmlformats.org/officeDocument/2006/relationships/hyperlink" Target="https://www.medrxiv.org/content/10.1101/2025.09.28.25336834v1.full-text" TargetMode="External"/><Relationship Id="rId70" Type="http://schemas.openxmlformats.org/officeDocument/2006/relationships/hyperlink" Target="https://medium.com/@sahilbansal480/understanding-model-calibration-in-machine-learning-6701814dbb3a" TargetMode="External"/><Relationship Id="rId37" Type="http://schemas.openxmlformats.org/officeDocument/2006/relationships/image" Target="media/image3.png"/><Relationship Id="rId36" Type="http://schemas.openxmlformats.org/officeDocument/2006/relationships/image" Target="media/image7.png"/><Relationship Id="rId39" Type="http://schemas.openxmlformats.org/officeDocument/2006/relationships/image" Target="media/image6.png"/><Relationship Id="rId38" Type="http://schemas.openxmlformats.org/officeDocument/2006/relationships/image" Target="media/image8.png"/><Relationship Id="rId62" Type="http://schemas.openxmlformats.org/officeDocument/2006/relationships/hyperlink" Target="https://www.researchgate.net/publication/343849931_Orderly_Disorder_in_Point_Cloud_Domain" TargetMode="External"/><Relationship Id="rId61" Type="http://schemas.openxmlformats.org/officeDocument/2006/relationships/hyperlink" Target="https://www.researchgate.net/publication/254051502_Dimensionality_Reduction_by_Unsupervised_K-Nearest_Neighbor_Regression" TargetMode="External"/><Relationship Id="rId20" Type="http://schemas.openxmlformats.org/officeDocument/2006/relationships/image" Target="media/image20.png"/><Relationship Id="rId64" Type="http://schemas.openxmlformats.org/officeDocument/2006/relationships/hyperlink" Target="https://pmc.ncbi.nlm.nih.gov/articles/PMC9691523/" TargetMode="External"/><Relationship Id="rId63" Type="http://schemas.openxmlformats.org/officeDocument/2006/relationships/hyperlink" Target="https://arxiv.org/pdf/2103.14200" TargetMode="External"/><Relationship Id="rId22" Type="http://schemas.openxmlformats.org/officeDocument/2006/relationships/image" Target="media/image21.png"/><Relationship Id="rId66" Type="http://schemas.openxmlformats.org/officeDocument/2006/relationships/hyperlink" Target="https://docs.nrel.gov/docs/fy18osti/72520.pdf" TargetMode="External"/><Relationship Id="rId21" Type="http://schemas.openxmlformats.org/officeDocument/2006/relationships/image" Target="media/image43.png"/><Relationship Id="rId65" Type="http://schemas.openxmlformats.org/officeDocument/2006/relationships/hyperlink" Target="https://dukespace.lib.duke.edu/server/api/core/bitstreams/5205465d-e4b5-4ebb-8d27-a3331fe4aea4/content" TargetMode="External"/><Relationship Id="rId24" Type="http://schemas.openxmlformats.org/officeDocument/2006/relationships/image" Target="media/image12.png"/><Relationship Id="rId68" Type="http://schemas.openxmlformats.org/officeDocument/2006/relationships/hyperlink" Target="https://arxiv.org/html/2509.23665v1" TargetMode="External"/><Relationship Id="rId23" Type="http://schemas.openxmlformats.org/officeDocument/2006/relationships/image" Target="media/image14.png"/><Relationship Id="rId67" Type="http://schemas.openxmlformats.org/officeDocument/2006/relationships/hyperlink" Target="https://sites.insead.edu/facultyresearch/research/doc.cfm?did=70675&amp;&amp;utm_medium=direct" TargetMode="External"/><Relationship Id="rId60" Type="http://schemas.openxmlformats.org/officeDocument/2006/relationships/hyperlink" Target="https://raghda-altaei.medium.com/how-dimensionality-affects-data-needs-for-knn-1c81a56ee98f" TargetMode="External"/><Relationship Id="rId26" Type="http://schemas.openxmlformats.org/officeDocument/2006/relationships/image" Target="media/image17.png"/><Relationship Id="rId25" Type="http://schemas.openxmlformats.org/officeDocument/2006/relationships/image" Target="media/image13.png"/><Relationship Id="rId69" Type="http://schemas.openxmlformats.org/officeDocument/2006/relationships/hyperlink" Target="https://en.wikipedia.org/wiki/Platt_scaling" TargetMode="External"/><Relationship Id="rId28" Type="http://schemas.openxmlformats.org/officeDocument/2006/relationships/image" Target="media/image5.png"/><Relationship Id="rId27" Type="http://schemas.openxmlformats.org/officeDocument/2006/relationships/image" Target="media/image15.png"/><Relationship Id="rId29" Type="http://schemas.openxmlformats.org/officeDocument/2006/relationships/image" Target="media/image11.png"/><Relationship Id="rId51" Type="http://schemas.openxmlformats.org/officeDocument/2006/relationships/hyperlink" Target="https://strangematters.coop/how-financial-markets-work-market-microstructure-order-flow-theorists/" TargetMode="External"/><Relationship Id="rId50" Type="http://schemas.openxmlformats.org/officeDocument/2006/relationships/hyperlink" Target="https://www.equiti.com/sc-en/education/market-analysis/order-flow-and-market-microstructure/" TargetMode="External"/><Relationship Id="rId53" Type="http://schemas.openxmlformats.org/officeDocument/2006/relationships/hyperlink" Target="https://arxiv.org/html/2405.16052v1" TargetMode="External"/><Relationship Id="rId52" Type="http://schemas.openxmlformats.org/officeDocument/2006/relationships/hyperlink" Target="https://scholarshare.temple.edu/bitstreams/89f379e0-4e4f-4ec3-9a53-5cfb68c595f4/download" TargetMode="External"/><Relationship Id="rId11" Type="http://schemas.openxmlformats.org/officeDocument/2006/relationships/image" Target="media/image34.png"/><Relationship Id="rId55" Type="http://schemas.openxmlformats.org/officeDocument/2006/relationships/hyperlink" Target="https://www.mdpi.com/2073-431X/14/10/408" TargetMode="External"/><Relationship Id="rId10" Type="http://schemas.openxmlformats.org/officeDocument/2006/relationships/image" Target="media/image26.png"/><Relationship Id="rId54" Type="http://schemas.openxmlformats.org/officeDocument/2006/relationships/hyperlink" Target="https://www.mdpi.com/2079-8954/13/10/875" TargetMode="External"/><Relationship Id="rId13" Type="http://schemas.openxmlformats.org/officeDocument/2006/relationships/image" Target="media/image29.png"/><Relationship Id="rId57" Type="http://schemas.openxmlformats.org/officeDocument/2006/relationships/hyperlink" Target="https://www.researchgate.net/publication/346704819_Topology_Data_Analysis_Using_Mean_Persistence_Landscapes_in_Financial_Crashes" TargetMode="External"/><Relationship Id="rId12" Type="http://schemas.openxmlformats.org/officeDocument/2006/relationships/image" Target="media/image22.png"/><Relationship Id="rId56" Type="http://schemas.openxmlformats.org/officeDocument/2006/relationships/hyperlink" Target="https://www.frontiersin.org/journals/applied-mathematics-and-statistics/articles/10.3389/fams.2022.940133/full" TargetMode="External"/><Relationship Id="rId15" Type="http://schemas.openxmlformats.org/officeDocument/2006/relationships/image" Target="media/image35.png"/><Relationship Id="rId59" Type="http://schemas.openxmlformats.org/officeDocument/2006/relationships/hyperlink" Target="https://www.researchgate.net/publication/388110176_Enhancing_financial_time_series_forecasting_through_topological_data_analysis" TargetMode="External"/><Relationship Id="rId14" Type="http://schemas.openxmlformats.org/officeDocument/2006/relationships/image" Target="media/image32.png"/><Relationship Id="rId58" Type="http://schemas.openxmlformats.org/officeDocument/2006/relationships/hyperlink" Target="https://d-nb.info/1370140673/34" TargetMode="External"/><Relationship Id="rId17" Type="http://schemas.openxmlformats.org/officeDocument/2006/relationships/image" Target="media/image39.png"/><Relationship Id="rId16" Type="http://schemas.openxmlformats.org/officeDocument/2006/relationships/image" Target="media/image30.png"/><Relationship Id="rId19" Type="http://schemas.openxmlformats.org/officeDocument/2006/relationships/image" Target="media/image41.png"/><Relationship Id="rId1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