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Paradigms in Financial Risk Management and Portfolio Optimization: A Comprehensive Architectural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Algorithmic Paradigm Shift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highly dynamic and increasingly interconnected financial landscape of the contemporary era, the integration of computational finance, machine learning (ML), and real-time risk analytics has fundamentally revolutionized enterprise risk management and portfolio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Financial institutions, spanning from boutique quantitative trading startups to vast multinational holding companies, are aggressively transitioning away from static, historical-based financial planning and analysis (FP&amp;A). Instead, they are adopting dynamic, programmatic frameworks capable of processing high-frequency data, uncovering non-linear market patterns, and executing automated, emotionless capital allocation strategies.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Computational finance provides the rigorous mathematical and numerical foundation for these operations, leveraging algorithmic techniques to optimize capital allocation, while advanced machine learning enhances predictive capabilities and market forecasting.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objective for any investment entity—regardless of its scale or the specific asset classes it targets—is the maximization of risk-adjusted returns.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dual mandate requires the systematic safeguarding of capital against extreme, left-tail market events while aggressively and efficiently capturing alpha during favorable market regimes.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Achieving this delicate balance requires a sophisticated, multi-layered architectural approach. It necessitates robust, low-latency technological infrastructure, complex mathematical modeling for position sizing, rigorous statistical protocols to prevent the illusion of backtest overfitting, and strict adherence to global model risk management (MRM) governance frameworks.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financial markets grow increasingly complex, heavily influenced by decentralized digital assets, algorithmic high-frequency trading (HFT), and rapid macroeconomic volatility shifts, the adoption of advanced AI-driven risk analytics fortifies financial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technologies provide real-time telemetry, allowing institutions to shift from reactive posture to proactive mitigation.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proliferation of deep learning and programmatic autonomy introduces severe institutional challenges. Chief among these are the opacity of "black box" algorithms, the dangerous statistical mirage of over-optimized historical backtesting, and the intricate regulatory compliance requirements mandated by global supervisory authorities.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exhaustively examines how financial entities of varying scales conceptualize, develop, and deploy programmatic models. It details the precise technological stacks required for implementation, the sophisticated mathematical formulations governing algorithmic portfolio construction, the advanced statistical metrics utilized to prevent false discoveries, and the enterprise-level governance frameworks necessary to maintain institutional stability and maximize safe, compound growth.</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Quantitative Technology Stack and Programming Ecosystems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foundation of any computational risk management system or algorithmic trading operation is its underlying technological stack. The selection of programming languages, open-source libraries, and execution platforms dictates the system's operational latency, its scalability across massive datasets, and its core analytical capabilities.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Institutions generally adopt a bifurcated architectural approach, utilizing highly expressive, higher-level languages for research, mathematical modeling, and data science, operating in tandem with lower-level, highly optimized languages for real-time, high-frequency execution.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has unequivocally established itself as the dominant programming language for quantitative research, machine learning integration, and initial strategy development.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Its supremacy is derived from its massive, specialized ecosystem of libraries. Pandas is universally utilized for time-series data manipulation, NumPy handles vectorized numerical computation, and frameworks like Scikit-Learn, TensorFlow, and PyTorch power deep learning model training.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specific financial risk analysis and derivatives pricing, Python acts as a wrapper for highly complex mathematical models. However, Python is structurally limited by the Global Interpreter Lock (GIL) and its dynamically typed nature, which introduces execution latency.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is widely acknowledged that pure Python runs significantly slower than compiled languages, rendering it suboptimal for microsecond-level execution in pure high-frequency trading environments.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mission-critical execution systems, enterprise-wide risk management architectures, and high-frequency trading engines, C++ remains the undisputed industry standard.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 affords quantitative developers granular, direct control over system memory management and hardware-level compiler optimization, effectively reducing execution latency to the microsecond or nanosecond level.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Massive global investment banks, which maintain legacy pricing models and process millions of transactions per second, rely heavily on object-oriented C++ codebases to maintain their core trading infrastructure.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Python and C++, the enterprise landscape features several other critical languages and database technologies tailored to specific quantitative tasks.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Programming Language /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Financial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Quantitative 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Quantitative research, machine learning, backtesting, mid-frequency algorithmic trading.</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open-source ecosystem, rapid prototyping, highly readable syntax, dominant in AI/ML development.</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 execution speeds, Global Interpreter Lock (GIL) prevents true multithreading, unsuitable for HFT.</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High-Frequency Trading (HFT), legacy pricing models, core exchange execution infrastructure.</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Unparalleled execution speed, deterministic memory management, direct hardware optimization.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steep learning curve, complex debugging, slower development cycles.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Java /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Middle-office risk management, enterprise reporting, bank trading infrastructure.</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object-oriented design, robust memory management via garbage collection, highly scalable for large institutional teams.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Garbage collection pauses can introduce unpredictable latency spikes, rendering them inferior to C++ for pure HFT.</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KDB+ (q)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High-frequency tick data storage, real-time massive time-series analytics.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Column-store database specifically optimized for time-series financial data; capable of querying billions of rows in milliseconds.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expensive enterprise licensing, highly niche skill set with a steep learning curve for the 'q' query language.</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Academic financial research, advanced statistical modeling, econometric analysis.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Superb built-in statistical packages and data visualization tools.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Declining industry adoption compared to Python, slower execution, difficult to integrate into live production environments.</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the deployment of these languages, the open-source community provides an array of highly specialized libraries. For instance, QuantLib (accessible via PyQL in Python) provides standard models for derivatives pricing and yield curve bootstrapping.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Riskfolio-Lib is extensively used for quantitative strategic asset allocation, allowing practitioners to optimize portfolios based on complex mathematical models utilizing convex optimization (via CVXPY).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portfolio performance and risk metric visualization, libraries such as pyfolio and VectorBT provide institutional-grade tearing sheets, analyzing everything from rolling Sharpe ratios to underwater drawdown periods.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Democratization vs. Proprietary Execution Infrastructure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these programmatic models varies drastically depending on the size and capital capitalization of the financial entity. Massive hedge funds and Tier-1 investment banks maintain vast teams of C++ engineers to build proprietary, ultra-low-latency execution engines that connect directly to exchange matching engines via physical co-location.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proprietary infrastructure is immensely expensive to maintain but provides complete control over execution logic and data privacy.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smaller holding companies, quantitative trading startups, and proprietary trading firms operate with fundamentally different resource constraints. These entities increasingly leverage cloud-based automation platforms and modern API-first brokerages to replicate institutional infrastructure at a fraction of the cost.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 Brokerage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Institutional User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Platform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Challenges and Drawbacks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quants, boutique funds, trading startups.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Cloud-based algorithmic backtesting, supports Python and C#, provides access to 400TB+ of point-in-time historical data across multiple asset classes.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Steep technical learning curve, potential latency during extreme market volatility, complex multi-broker configurations.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Alpaca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quantitative funds, developer-led trading firms.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API-first commission-free brokerage, seamless integration with Python scripts, excellent for executing programmatic strategies natively.</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Asset coverage is generally limited to equities and crypto; users may be subject to Payment for Order Flow (PFOF) dynamics.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Interactive Brokers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Institutional funds, advanced proprietary trading groups.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Market Access (DMA), institutional-grade raw tick data, vast global asset class coverage, deep liquidity routing.</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API is notoriously difficult to integrate; requires highly proficient coding to manage local uptime, disconnections, and error handling.</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MetaTrader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Retail traders, boutique Forex/CFD shops.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deployment via MQL4/MQL5, massive pre-built retail ecosystem, built-in charting.</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Lacks deep programmatic flexibility for complex machine learning models; fundamentally restricted to Forex and CFDs.</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trading startup, utilizing an open-source framework like LEAN (the engine powering QuantConnect) integrated with a broker like Alpaca enables the deployment of complex quantitative strategies up to 10 to 100 times faster than building a proprietary order management system from scratch.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allows small firms to focus their limited capital on alpha generation and mathematical research rather than maintaining server uptime and FIX protocol connections.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this democratization of access comes with operational trade-offs; reliance on cloud-based execution platforms introduces an external point of failure, and latency can spike unexpectedly during periods of extreme macroeconomic volatility when the platform's servers are heavily loaded.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Risk Modeling and Real-Time Data Integration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financial risk management within holding companies and banks relied heavily on static models utilizing delayed, daily, or weekly historical data windows.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traditional risk models—most notably Value-at-Risk (VaR) and Generalized Autoregressive Conditional Heteroskedasticity (GARCH)—rely on fixed historical datasets and fundamental assumptions of market stationarity.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they extrapolate the future purely from a linear understanding of the past, they are notoriously ill-suited for detecting sudden regime shifts, flash crashes, or black swan events.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contemporary computational approach necessitates the complete abandonment of static assessments in favor of integrating real-time financial data streams into dynamic, continuously updating risk modeling frameworks.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programmatic risk architectures are designed to continuously ingest and process high-frequency data from a multimodal array of sources. This data extends far beyond standard market tickers (price and volume). The telemetry now includes real-time macroeconomic indicators, global liquidity shifts, alternative unstructured data such as news sentiment and social media velocity (processed instantaneously via Natural Language Processing), and on-chain transactional metrics parsed from decentralized finance (DeFi) networks.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this massive data influx, the required system architecture consists of three primary layers. First, Real-Time Data Pipelines facilitate the continuous, low-latency ingestion of data as events unfold globally. Second, Data Normalization Layers computationally validate, clean, and transform highly fragmented and asynchronous information from both off-chain traditional markets and on-chain digital sources. Finally, AI-Driven Analytics Engines serve as the core processing units, utilizing distributed streaming analytics platforms, edge computing, and cloud-native infrastructures to minimize the time elapsed between data ingestion, model inference, and ultimate trade execution.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extract actionable, predictive insights from this high-velocity data pool, institutions deploy advanced machine learning topologies. Traditional linear regressions are replaced by algorithms capable of adapting to non-linear market velocity.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Online learning algorithms are particularly crucial, as they allow risk models to continuously update their internal parameters and weights sequentially as new data arrives, without requiring a computationally expensive complete retraining cycle on historical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renders the models highly responsive to emerging risk clusters.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Temporal Convolutional Networks (TCNs) and Long Short-Term Memory (LSTM) recurrent neural networks are heavily utilized for their robustness in handling noisy time-series data and capturing complex, long-term temporal dependencies and autocorrelation within market movements.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unsupervised learning techniques, such as K-means clustering and isolation forests, serve as autonomous anomaly detection mechanisms. These algorithms operate in real-time to identify structural breaks in asset correlations, unusual out-of-bounds transactional behavior, or emerging systemic threats before they manifest in price action.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real-time market data into portfolio management enables the continuous, dynamic recalibration of asset allocation.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example, by tracking evolving asset correlations and volatility spikes in real-time, dynamic portfolios can automatically scale down exposure to highly volatile clusters and dynamically rotate capital into defensive assets.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Academic and empirical studies utilizing Bayesian Markov switching models with Dirichlet priors and Gibbs sampling have demonstrated that segmenting market regimes based on real-time volatility states—and adjusting allocations instantly based on those states—yields significantly higher risk-adjusted returns compared to traditional static allocations like equal-weighted or minimum-variance portfolios.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tangible improvements in decision accuracy driven by these dynamic systems are profound. Real-world case scenarios demonstrate that transitioning from periodic to continuous risk assessment can improve a portfolio's Sharpe Ratio by approximately 46.7%, reduce maximum drawdowns by 50% (e.g., from an 18.4% drop to a 9.2% drop), and decrease annualized volatility significantly.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Most importantly, the response time to sudden market shocks improves by over 95%, moving from a latency of several hours under manual assessment to sub-minute computational latency.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Capital Allocation Governance in Holding Companies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large holding companies and multifaceted conglomerates, risk management is not merely a function of hedging secondary market volatility; it is deeply and intrinsically tied to how corporate capital is aggregated, leveraged, and dispersed across highly disparate business units, subsidiaries, and geographic jurisdictions.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Empirical corporate finance analysis dictates that conglomerates rarely fail due to a lack of market opportunity; rather, they fail due to undisciplined capital movement, poor structural governance, and the misallocation of resources to underperforming units based on internal politics rather than rigorous mathematics.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creation and enforcement of programmatic capital allocation models enable holding companies to formalize the deployment of equity, dictate where leverage is maximized, and mathematically cap total enterprise exposure.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prerequisite for programmatic capital allocation is the strict, algorithmic definition of return thresholds. Computational models determine optimal corporate allocation by establishing explicit hurdle rates that are directly aligned to the holding company’s weighted average cost of capital (WACC), adjusted for specific jurisdictional risk premiums and precise liquidity objectives.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Under a programmatic governance framework, no internal business unit receives incremental expansion capital if its projected Return on Invested Capital (ROIC) falls below this algorithmic threshold, unless it is approved via a rigorous strategic exception protocol featuring a hard-coded timeline and a predefined exit trigger.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Holding companies utilize several distinct mathematical models for overarching capital deployment, the logic of which can be programmed into enterprise resource planning and corporate finance algorithms: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Allocation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Programmatic/Algorithmic Implementation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Concentration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Directs the vast majority of free cash flow into a highly restricted number of high-return, defensible core businesses that serve as the anchor for enterprise value.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Algorithms automatically upstream cash from peripheral units to the holding level. Expansion capital is then computationally deployed only into core units where historical ROIC consistently exceeds the portfolio's weighted average.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Barbell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Corporate capital is aggressively bifurcated into two absolute extremes: ultra-safe, defensive assets (e.g., regulated utilities) and high-risk, high-reward growth bets (e.g., venture capital).</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Optimization algorithms strictly minimize mid-tier allocations. They enforce strict milestone-based gating for growth bets, automatically terminating funding and initiating capital recycling if quantitative KPIs are missed.</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Adjacency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Capital is deployed solely into businesses that measurably strengthen existing supply chain control, regulatory access, or critical data dominance.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Machine learning models assess complex, non-linear synergies. Subsidiaries that do not computationally enhance overall enterprise margin expansion or network effects are programmatically flagged for divestiture.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Federated 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 business units retain operational autonomy but are strictly bounded by computational "capital guardrails" regarding leverage and liquidity constraints.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reporting systems track unit-level ROIC and leverage in real-time. Any breach in the quantitative thresholds triggers an automatic, system-wide reversion to centralized capital control.</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Recycling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Assets are explicitly treated as temporary "capital containers" with predefined value creation theses and hard-coded exit horizons.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Algorithms continuously monitor public market equivalents; exits are prepared from the date of acquisition, and capital gains are systematically redeployed into higher-return verticals to mathematically reduce reliance on external debt funding.</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Underpinning all of these allocation models is the advanced concept of Risk Budgeting. Rather than purely budgeting cash expenditures, modern holding companies mathematically budget enterprise risk.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Each vertical or business unit is assigned a rigidly defined exposure ceiling concerning total leverage utilization, counterparty concentration, and regulatory dependency. Predictive risk models constantly monitor these thresholds. If a business unit breaches its allocated risk budget, the overarching system mandates an immediate capital freeze or initiates structural adjustment protocols.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liquidity preservation rules are computationally enforced at the holding company (Holdco) level. Algorithms ensure that minimum group liquidity ratios are codified and that centralized cash buffers are fiercely protected before any discretionary expansion is permitted.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Systems continuously run stress test scenarios—simulating sudden revenue contractions, rapid interest rate increases, and severe refinancing constraints—to ensure that revolving credit facilities maintain adequate covenant headroom under the most adverse hypothetical conditions.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Through Holdco cash pooling and intercompany loan structuring governed by arm's-length covenants, the holding company optimizes liquidity mathematically, effectively neutralizing internal political lobbying for capital.</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Market-Neutral Alpha via Statistical Arbitrage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capital has been efficiently allocated to specific trading desks or quantitative investment units, the generation of safe, reliable profits heavily relies on market-neutral strategies and mathematically optimized position sizing. The core objective of a quantitative trading firm is to decouple the portfolio's returns from broader market beta (the directional movement of the S&amp;P 500 or other benchmark indices), generating absolute returns (alpha) through the exploitation of temporary statistical inefficiencies.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Statistical arbitrage (StatArb) represents a highly sophisticated class of quantitative trading strategies that heavily leverage mathematical modeling, mean reversion theories, and machine learning to identify and exploit minute price inefficiencies between related securities.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these strategies involve taking simultaneous, offsetting long and short positions, they are fundamentally designed to be market-neutral. They aim to generate consistent compounding profits regardless of whether the broader macroeconomic environment is fiercely bullish or severely bearish.</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foundational component of StatArb is the concept of Pairs Trading. Programmatic algorithms continuously scan vast universes of global securities, applying cointegration tests to identify pairs of assets that historically demonstrate a highly predictable, correlated pricing relationship.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algorithm continuously calculates the price spread between the paired assets. When this spread deviates beyond a statistically significant threshold—often measured in standard deviations (Z-scores) from the historical mean—the algorithm automatically executes a short position on the temporarily overvalued asset and a corresponding long position on the undervalued asset.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mathematical expectation is mean reversion; as the spread normalizes and returns to stationarity, the offsetting positions are closed simultaneously for a risk-free profit.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computational power and machine learning has advanced this concept far beyond simple two-asset pairs. Modern quantitative funds deploy basket trading and cross-asset arbitrage, where algorithms assess multi-dimensional pricing discrepancies between equities, Exchange Traded Funds (ETFs), and their underlying derivative components.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Machine learning models, particularly those utilizing deep neural networks, are deployed to identify non-linear relationships and hidden inefficiencies across thousands of securities simultaneously, executing high-frequency trades that extract alpha from markets that appear completely efficient to human analysts.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Position Sizing: The Kelly Criterion and Volatility Targeting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Identifying a statistical edge through arbitrage or machine learning forecasting is only half of the operational requirement for a successful quantitative fund. Determining the precise, mathematically optimal amount of capital to risk on that specific edge is critical for long-term survival and the maximization of safe profits. Over-leveraging a valid edge leads to catastrophic ruin during inevitable drawdown periods, while under-leveraging leaves significant compound growth on the table. To solve this, programmatic traders rely heavily on the Kelly Criterion.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Kelly Criterion is a mathematical formula utilized to optimize position sizing specifically to maximize the long-term compound growth rate of capital, while computationally driving the risk of absolute ruin to zero.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its discrete form for binary outcomes, the Kelly percentage </w:t>
      </w:r>
      <w:r w:rsidDel="00000000" w:rsidR="00000000" w:rsidRPr="00000000">
        <w:rPr>
          <w:rFonts w:ascii="Google Sans" w:cs="Google Sans" w:eastAsia="Google Sans" w:hAnsi="Google Sans"/>
          <w:color w:val="1f1f1f"/>
        </w:rPr>
        <w:drawing>
          <wp:inline distB="19050" distT="19050" distL="19050" distR="19050">
            <wp:extent cx="183952" cy="23236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3952" cy="232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8564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38564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probability of a winning trade,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probability of a losing trade (</w:t>
      </w:r>
      <w:r w:rsidDel="00000000" w:rsidR="00000000" w:rsidRPr="00000000">
        <w:rPr>
          <w:rFonts w:ascii="Google Sans" w:cs="Google Sans" w:eastAsia="Google Sans" w:hAnsi="Google Sans"/>
          <w:color w:val="1f1f1f"/>
        </w:rPr>
        <w:drawing>
          <wp:inline distB="19050" distT="19050" distL="19050" distR="19050">
            <wp:extent cx="410468" cy="229099"/>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0468" cy="229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9177" cy="23753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9177" cy="237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proportion of the bet gained on a win, and </w:t>
      </w:r>
      <w:r w:rsidDel="00000000" w:rsidR="00000000" w:rsidRPr="00000000">
        <w:rPr>
          <w:rFonts w:ascii="Google Sans" w:cs="Google Sans" w:eastAsia="Google Sans" w:hAnsi="Google Sans"/>
          <w:color w:val="1f1f1f"/>
        </w:rPr>
        <w:drawing>
          <wp:inline distB="19050" distT="19050" distL="19050" distR="19050">
            <wp:extent cx="97631" cy="234315"/>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97631" cy="23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proportion lost on a loss. For continuous financial returns in equities or commodities, the Kelly fraction is often approximated utilizing the expected excess return of the strategy over the variance of the asset. Modern programmatic libraries, such as Riskfolio-Lib in Python, allow quantitative researchers to seamlessly solve for the Kelly optimal portfolio (often defined as the Logarithmic Mean Risk objective function) utilizing highly complex convex optimization techniques (such as SOCP or EXP programming techniques depending on the risk measure).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betting the "full Kelly" fraction assumes perfect knowledge of future probabilities and can result in extreme equity curve volatility and severe short-term drawdowns, institutional models almost universally employ a "Fractional Kelly" approach (e.g., half-Kelly or quarter-Kelly).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fractional approach is programmatically blended with Volatility Targeting. In a volatility-targeted regime, the algorithm continuously calculates the real-time trailing volatility of the asset or the overall portfolio. If the real-time volatility exceeds a predefined target threshold, the programmatic model automatically reduces leverage and scales down position sizes to maintain a constant, pre-defined risk profile.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allows the portfolio to automatically scale out of turbulent, erratic markets to preserve capital, and scale heavily back into calm, smoothly trending markets, maximizing safe profits.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Reinforcement Learning and Advanced Objective Functions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frontier of quantitative portfolio management utilizes Deep Reinforcement Learning (DRL) for dynamic asset allocation.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 DRL framework, the trading algorithm acts as an autonomous agent. It continuously observes the state of the market environment (ingesting price action, macroeconomic indicators, and sentiment data) and takes direct actions (reallocating specific portfolio weights) to maximize a predefined reward function over time.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Advanced algorithms such as Soft Actor-Critic (SAC) or Deep Deterministic Policy Gradient (DDPG) have demonstrated clear superiority over traditional Markowitz Mean-Variance Optimization frameworks, as they naturally adapt to non-stationary market conditions without relying on the deeply flawed assumption that financial returns follow a normal, Gaussian distribution.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a machine learning model, however, is entirely dependent on the mathematical design of its loss function (or reward function). While the Sharpe Ratio is the most universally recognized performance metric in finance, it is structurally flawed when utilized as a deep learning optimization target. The Sharpe Ratio penalizes both upside and downside volatility equally; a strategy that experiences explosive, positive upside movement is penalized just as heavily as a strategy that experiences a severe crash, because both increase standard deviation.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Furthermore, it ignores the high kurtosis (fat tails) and negative skewness inherent in real-world financial time series.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To construct safer, highly robust programmatic models, quantitative systems employ advanced risk-adjusted metrics, integrating them directly as loss functions to train neural networks.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Risk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 Machine Learning Loss Functions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Sortino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the excess return of the portfolio relative only to downside deviation (the volatility of negative asset returns below a minimum acceptable threshold).</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 utilizing the Sortino ratio as a reward function, DRL agents are computationally incentivized to seek explosive upside potential while strictly minimizing negative variance, correcting the Sharpe Ratio's primary flaw.</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Calmar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Compares the annualized return of the portfolio directly to its Maximum Drawdown (MDD) over a specified period.</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Incorporating the Calmar Ratio heavily penalizes models that experience catastrophic capital degradation. It forces the neural network to prioritize a smooth, continuous equity curve, rejecting strategies that risk deep peak-to-trough losses.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Omega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probability-weighted ratio of gains versus losses above a target return threshold, utilizing the entire return distribution.</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Moving beyond the first two statistical moments (mean and variance), the Omega Ratio inherently accounts for skewness and kurtosis. Implementing it within a Markov Decision Process ensures that extreme, infrequent market events (fat tails) are fully factored into the algorithmic decision-making process.</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State-of-the-art architectures, such as the DeepTrader framework, further innovate by separating the learning process into specialized units.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An asset scoring unit evaluates individual assets to determine their growth potential across a discrete action space, while a completely independent market scoring unit assesses overall macroeconomic sentiment to decide the continuous allocation between long and short funds.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optimization of both units is integrated into a single, complex loss function utilizing policy gradients, striking an optimal, autonomous balance between risk and return across various market cycles, including severe recessions.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 of Alpha: Mitigating Backtest Overfitting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immense power of computational finance, the single greatest existential threat to programmatic trading and machine learning in finance is backtest overfitting.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 access to massive cloud computational power and modern hyperparameter optimization frameworks (such as Optuna), quantitative researchers can effortlessly backtest millions of strategy permutations and parameter combinations in a matter of hours.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sheer statistical chance, a specific combination of parameters will inevitably emerge that exhibits a stellar, upward-trending historical performance curve. However, this model has not discovered a genuine market inefficiency; it has merely memorized the random noise of the historical dataset.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such an overfitted model is deployed with real capital in live, unseen markets, it will inevitably collapse, resulting in severe financial losses.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Multiple Testing Problem and the Deflated Sharpe Ratio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algorithm autonomously searches through thousands of parameter combinations, it is engaging in what statisticians term the "Multiple Testing Problem".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the researcher or the ML algorithm typically only reports the single best-performing model out of the thousands tested, the standard Sharpe ratio of that selected model becomes artificially inflated, a phenomenon known as selection bias.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To computationally address this widespread deception, advanced quantitative analysts employ the Probabilistic Sharpe Ratio (PSR) and the Deflated Sharpe Ratio (DSR), pioneered by mathematicians David H. Bailey and Marcos López de Prado.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PSR first removes the dangerous assumption of normal returns. It adjusts the standard Sharpe Ratio to account for the observed skewness and excess kurtosis in the data, providing a true statistical probability that the Sharpe Ratio actually exceeds a certain benchmark (e.g., zero).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DSR takes this mathematical rigor significantly further by directly correcting for the Multiple Testing Problem itself.</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core logic of the DSR dictates that as the number of independent backtest trials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the expected maximum Sharpe Ratio (</w:t>
      </w:r>
      <w:r w:rsidDel="00000000" w:rsidR="00000000" w:rsidRPr="00000000">
        <w:rPr>
          <w:rFonts w:ascii="Google Sans" w:cs="Google Sans" w:eastAsia="Google Sans" w:hAnsi="Google Sans"/>
          <w:color w:val="1f1f1f"/>
        </w:rPr>
        <w:drawing>
          <wp:inline distB="19050" distT="19050" distL="19050" distR="19050">
            <wp:extent cx="254347" cy="235507"/>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54347" cy="235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also increases purely by random chance, even if there is absolutely no actual investment skill present.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DSR first calculates the expected maximum Sharpe Ratio (</w:t>
      </w:r>
      <w:r w:rsidDel="00000000" w:rsidR="00000000" w:rsidRPr="00000000">
        <w:rPr>
          <w:rFonts w:ascii="Google Sans" w:cs="Google Sans" w:eastAsia="Google Sans" w:hAnsi="Google Sans"/>
          <w:color w:val="1f1f1f"/>
        </w:rPr>
        <w:drawing>
          <wp:inline distB="19050" distT="19050" distL="19050" distR="19050">
            <wp:extent cx="328017" cy="241189"/>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28017" cy="241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generated purely by noise across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trials using the following approximation: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variance of the estimated Sharpe ratios across all trials, </w:t>
      </w:r>
      <w:r w:rsidDel="00000000" w:rsidR="00000000" w:rsidRPr="00000000">
        <w:rPr>
          <w:rFonts w:ascii="Google Sans" w:cs="Google Sans" w:eastAsia="Google Sans" w:hAnsi="Google Sans"/>
          <w:color w:val="1f1f1f"/>
        </w:rPr>
        <w:drawing>
          <wp:inline distB="19050" distT="19050" distL="19050" distR="19050">
            <wp:extent cx="105668" cy="230549"/>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05668" cy="230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Euler-Mascheroni constant, and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standard Normal cumulative distribution function.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this noise threshold is established, the DSR statistic adjusts the chosen strategy's actual Sharpe Ratio (</w:t>
      </w:r>
      <w:r w:rsidDel="00000000" w:rsidR="00000000" w:rsidRPr="00000000">
        <w:rPr>
          <w:rFonts w:ascii="Google Sans" w:cs="Google Sans" w:eastAsia="Google Sans" w:hAnsi="Google Sans"/>
          <w:color w:val="1f1f1f"/>
        </w:rPr>
        <w:drawing>
          <wp:inline distB="19050" distT="19050" distL="19050" distR="19050">
            <wp:extent cx="254347" cy="235507"/>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54347" cy="235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determine its true statistical significance: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61164"/>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05500" cy="16116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2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sample length, and </w:t>
      </w:r>
      <w:r w:rsidDel="00000000" w:rsidR="00000000" w:rsidRPr="00000000">
        <w:rPr>
          <w:rFonts w:ascii="Google Sans" w:cs="Google Sans" w:eastAsia="Google Sans" w:hAnsi="Google Sans"/>
          <w:color w:val="1f1f1f"/>
        </w:rPr>
        <w:drawing>
          <wp:inline distB="19050" distT="19050" distL="19050" distR="19050">
            <wp:extent cx="169217" cy="216222"/>
            <wp:effectExtent b="0" l="0" r="0" t="0"/>
            <wp:docPr id="2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69217" cy="216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69217" cy="216222"/>
            <wp:effectExtent b="0" l="0" r="0" t="0"/>
            <wp:docPr id="2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9217" cy="216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skewness and kurtosis of the returns, correcting for non-Normality.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continuously raising the benchmark hurdle (</w:t>
      </w:r>
      <w:r w:rsidDel="00000000" w:rsidR="00000000" w:rsidRPr="00000000">
        <w:rPr>
          <w:rFonts w:ascii="Google Sans" w:cs="Google Sans" w:eastAsia="Google Sans" w:hAnsi="Google Sans"/>
          <w:color w:val="1f1f1f"/>
        </w:rPr>
        <w:drawing>
          <wp:inline distB="19050" distT="19050" distL="19050" distR="19050">
            <wp:extent cx="328017" cy="241189"/>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28017" cy="241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number of backtest trials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the DSR ruthlessly separates genuine predictive alpha from statistical flukes.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Empirical applications are startling: a strategy that appears to possess a 95% to 97% confidence level of profitability under standard metrics often plummets to a mere 2% to 5% confidence level when evaluated through the unforgiving lens of the DSR.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Backtesting Architectures and Methodologies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implementing statistical corrections like the DSR, the actual architectural setup of the backtesting engine is critical to ensuring robust models. Financial engineers must systematically eradicate common data biases that plague novice quantitative models.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Backtesting Bias /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Programmatic 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Look-Ahead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algorithm inadvertently utilizes information that was not yet publicly available at the exact time of the simulated trade.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Algorithms must be strictly prohibited from accessing future data. This requires the integration of highly expensive "point-in-time" datasets that reflect exactly what information was available at a specific millisecond, accurately accounting for later macroeconomic data revisions.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Survivorship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Testing solely on the current components of an index (e.g., the S&amp;P 500 in 2026) retroactively ignores companies that went bankrupt or were delisted, artificially inflating returns.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Accurate models require comprehensive historical universes that include all defunct assets, utilizing point-in-time constituent mapping to ensure the algorithm simulates trading the exact universe available historically.</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Cross-Validation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K-fold cross-validation randomly shuffles data, disrupting chronological order and leaking future patterns into the training set.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Utilization of Walk-Forward Analysis (Forward Chaining). The model is continuously trained on a rolling historical window and validated strictly on the immediate, unseen chronological future period.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Deterministic Overconfidence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Assuming the single historical price path is the only way the market could have behaved.</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Monte Carlo Resampling:</w:t>
            </w:r>
            <w:r w:rsidDel="00000000" w:rsidR="00000000" w:rsidRPr="00000000">
              <w:rPr>
                <w:rFonts w:ascii="Google Sans" w:cs="Google Sans" w:eastAsia="Google Sans" w:hAnsi="Google Sans"/>
                <w:color w:val="1f1f1f"/>
                <w:shd w:fill="auto" w:val="clear"/>
                <w:rtl w:val="0"/>
              </w:rPr>
              <w:t xml:space="preserve"> Subjecting the trading strategy to thousands of simulated price paths (Brownian motion) with injected noise ensures the strategy's logic holds up under market conditions and volatility regimes that have not yet historically occurred.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Unrealistic Friction Assumptions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Failing to account for the real-world costs of moving capital, resulting in highly active strategies appearing falsely profitable.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Models must algorithmically deduct accurate bid-ask spreads, transaction commissions, slippage delays, and the borrowing costs associated with shorting securities.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Only strategies that demonstrate exceptionally high DSR scores across strictly out-of-sample datasets, while factoring in the harshest realistic transaction costs, are advanced to paper trading and eventual live capital deployment.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Convex Payoffs and Tail Risk Hedging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dynamic optimization, statistical arbitrage, and algorithmic diversification highly efficiently handle continuous, normal market fluctuations, they provide little to no defense against sudden systemic shocks, black swan events, or severe global liquidity crises.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financial markets are prone to sudden left-tail events where cross-asset correlations rapidly converge to 1.0 (meaning everything crashes simultaneously), traditional diversification fails precisely when it is needed most.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absolutely maximize safe profits, quantitative portfolios must programmatically integrate tail-risk hedging—strategies mathematically designed to deliver massive, convex payoffs precisely when the broader market collapses.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direct hedging involves systematically purchasing out-of-the-money (OTM) put options on major equity indices (like the S&amp;P 500).</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While this is highly reliable—an idealized put strategy can cap portfolio losses completely—it suffers from a severe, structural flaw known as negative carry.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constant bleed of option premiums during prolonged, multi-year bull markets acts as a massive heavy drag on long-term compound growth.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implied volatility is often highest when protection is needed most, rendering the insurance mathematically prohibitively expensive during times of stress.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negative carry while maintaining protection, advanced programmatic risk models utilize indirect and alternative tail-risk strategies.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Trend-Following (Managed Futures):</w:t>
      </w:r>
      <w:r w:rsidDel="00000000" w:rsidR="00000000" w:rsidRPr="00000000">
        <w:rPr>
          <w:rFonts w:ascii="Google Sans" w:cs="Google Sans" w:eastAsia="Google Sans" w:hAnsi="Google Sans"/>
          <w:color w:val="1f1f1f"/>
          <w:rtl w:val="0"/>
        </w:rPr>
        <w:t xml:space="preserve"> Quantitative trend-following algorithms inherently operate as highly effective tail hedges. By systematically riding long-term momentum across commodities, currencies, and fixed-income sectors, these algorithms tend to naturally short equities and long safe-haven assets (like government bonds and gold) during prolonged market crashes. Historical simulations demonstrate that trend-following models generated positive returns in the vast majority of the most severe historical market drawdowns without suffering the constant bleed of option premiums.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Volatility Dispersion Trading:</w:t>
      </w:r>
      <w:r w:rsidDel="00000000" w:rsidR="00000000" w:rsidRPr="00000000">
        <w:rPr>
          <w:rFonts w:ascii="Google Sans" w:cs="Google Sans" w:eastAsia="Google Sans" w:hAnsi="Google Sans"/>
          <w:color w:val="1f1f1f"/>
          <w:rtl w:val="0"/>
        </w:rPr>
        <w:t xml:space="preserve"> This advanced algorithmic strategy exploits the mathematical difference in implied volatility between a broad index and its individual constituent stocks.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During normal market regimes, individual stocks exhibit high idiosyncratic volatility while the index remains calm. However, during a systemic crash, panic causes correlations to converge, meaning individual stock variance decreases relative to the index. A programmatic dispersion trade goes long on index volatility and short on individual stock volatility, generating massive convex returns when market panic causes broad correlation spikes.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Credit Curve Flatteners:</w:t>
      </w:r>
      <w:r w:rsidDel="00000000" w:rsidR="00000000" w:rsidRPr="00000000">
        <w:rPr>
          <w:rFonts w:ascii="Google Sans" w:cs="Google Sans" w:eastAsia="Google Sans" w:hAnsi="Google Sans"/>
          <w:color w:val="1f1f1f"/>
          <w:rtl w:val="0"/>
        </w:rPr>
        <w:t xml:space="preserve"> Machine learning models track real-time macroeconomic indicators to trigger complex credit default swap (CDS) positions.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executing a spread duration-neutral trade—specifically, shorting short-term credit spreads and longing long-term spreads—institutions generate profit when sudden economic crises cause short-term corporate default risks to skyrocket, rapidly flattening or inverting the credit yield curve.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these complex tail hedges, quantitative systems design programmatic screens to filter trade candidates based on three key metrics: Z-score (measuring historical cheapness), Correlation (measuring how the trade reacts to daily changes in the S&amp;P 500), and Convexity (measuring the exponential payoff potential during a market crash).</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Integrating these tail hedges programmatically allows institutions to aggressively allocate capital to high-yield risk assets during bull markets, secure in the mathematical knowledge that catastrophic left-tail events are computationally capped.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Regulatory Compliance and Model Risk Management (MRM)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financial industry's reliance on complex algorithmic systems and deep machine learning deepens, global regulators have imposed increasingly stringent requirements to prevent systemic economic catastrophes caused by rogue algorithms, unchecked leverage, or structurally flawed computational models.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foundation of modern enterprise Model Risk Management (MRM) is heavily rooted in frameworks such as the U.S. Federal Reserve’s SR 11-7, the European Central Bank’s Targeted Review of Internal Models (TRIM) guidelines, and the Basel Committee's Fundamental Review of the Trading Book (FRTB).</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MRM Lifecycle and SR 11-7 Compliance Architectures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SR 11-7 framework defines a "model" incredibly broadly: it encompasses any quantitative method, system, or approach that applies statistical, economic, financial, or mathematical theories, techniques, and assumptions to process input data into quantitative estimates.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Under this sweeping regulatory definition, everything from a simple Black-Scholes options pricing spreadsheet to a complex Deep Reinforcement Learning autonomous asset allocator falls strictly under regulatory purview and requires intense oversight.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institution-grade MRM frameworks require strict governance built definitively upon the "Three Lines of Defense" architecture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First Line of Defense (Development and Implementation):</w:t>
      </w:r>
      <w:r w:rsidDel="00000000" w:rsidR="00000000" w:rsidRPr="00000000">
        <w:rPr>
          <w:rFonts w:ascii="Google Sans" w:cs="Google Sans" w:eastAsia="Google Sans" w:hAnsi="Google Sans"/>
          <w:color w:val="1f1f1f"/>
          <w:rtl w:val="0"/>
        </w:rPr>
        <w:t xml:space="preserve"> Model owners and quantitative developers are responsible for the conceptual soundness of the model. They must ensure high data quality (strictly compliant with BCBS 239 risk data aggregation principles), document all underlying mathematical assumptions, and explicitly outline the model's limitations.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Second Line of Defense (Independent Validation):</w:t>
      </w:r>
      <w:r w:rsidDel="00000000" w:rsidR="00000000" w:rsidRPr="00000000">
        <w:rPr>
          <w:rFonts w:ascii="Google Sans" w:cs="Google Sans" w:eastAsia="Google Sans" w:hAnsi="Google Sans"/>
          <w:color w:val="1f1f1f"/>
          <w:rtl w:val="0"/>
        </w:rPr>
        <w:t xml:space="preserve"> A completely separate, highly credentialed quantitative team must rigorously test the model before it is permitted to execute live trades.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involves replicating the core mathematics independently, stressing the model with extreme out-of-bounds inputs, and evaluating backtesting logic to provide an "effective challenge" to the first line's assumptions.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Models are tiered based on materiality; highly complex AI models that dictate massive capital allocation are subjected to the most rigorous, continuous validation cycles.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Third Line of Defense (Internal Audit):</w:t>
      </w:r>
      <w:r w:rsidDel="00000000" w:rsidR="00000000" w:rsidRPr="00000000">
        <w:rPr>
          <w:rFonts w:ascii="Google Sans" w:cs="Google Sans" w:eastAsia="Google Sans" w:hAnsi="Google Sans"/>
          <w:color w:val="1f1f1f"/>
          <w:rtl w:val="0"/>
        </w:rPr>
        <w:t xml:space="preserve"> The internal audit function does not validate the math, but rather ensures that the overarching MRM policies, the enterprise model inventory management, and the board-level risk reporting mechanisms are functioning correctly and without conflicts of interest.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massive multinational banks possess dedicated, heavily staffed MRM units capable of managing these complexities seamlessly, smaller to medium-sized financial institutions often struggle under the immense resource burden required for compliance.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For smaller entities, MRM frameworks must be carefully tailored to scale. They often integrate model development and validation within the same front-line units due to headcount constraints, but must strictly enforce independent escalation protocols to resolve conflicting views. This ensures that even severely under-resourced firms maintain quantitative discipline and meet regulatory expectations.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Explainability Challenge and Third-Party Vendor Risks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foundational AI, particularly generative AI and deep neural networks, introduces severe compliance friction into the MRM process.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Traditional SR 11-7 validation requires quantitative risk managers to trace calculations linearly from input to output to verify behavior.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deep learning models often operate as opaque "black boxes," possessing complex, internal inferential logic that humans cannot directly trace or intuitively understand.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Regulators worldwide explicitly reject the "black box" defense; if a financial model's autonomous decisions cannot be clearly explained to an auditor, it cannot be legally deployed for critical risk assessments, credit scoring, or capital allocation.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this critical regulatory gap, quantitative validation teams increasingly utilize sophisticated post-hoc explainability techniques, most notably SHAP (SHapley Additive exPlanations) and LIME (Local Interpretable Model-agnostic Explanations).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algorithms run parallel to the primary model, mathematically approximating the internal logic of the deep neural network. This allows risk managers to definitively identify which specific input features (e.g., a sudden drop in bond yields, or a spike in negative news sentiment) drove a particular autonomous allocation or risk-flagging decision.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many cautious financial institutions are actively transitioning to hybrid AI architectures. They pair highly predictive but opaque deep learning models with interpretable, traditional linear models. This hybrid approach aims to maintain strict regulatory compliance while still capturing the non-linear alpha generated by AI.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major dimension of modern MRM is the profound risk associated with third-party dependencies. Traditional financial institutions rarely possess the immense capital required to build foundational Large Language Models (LLMs) from scratch; instead, they integrate external APIs from providers like OpenAI, Google, or Anthropic.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creates severe institutional vulnerability, as the financial institution does not control the original training data, cannot interrogate the model weights, and cannot prevent the external provider from updating the model architecture unannounced (causing severe "model drift" where outputs suddenly change).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Comprehensive MRM governance now strictly mandates contractual protections enforcing transparency from AI vendors, continuous API output monitoring, and the construction of contingency fallback architectures that seamlessly transition to localized, less complex models if external services degrade or exhibit hallucinations.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relentless pursuit of maximized, definitively safe profits within modern financial markets necessitates a total paradigm shift away from human intuition toward rigorous computational and programmatic execution. Investment firms, proprietary trading desks, and massive global holding companies can no longer rely on disjointed, static spreadsheets or purely discretionary capital allocation methodologies. Long-term institutional success now demands the seamless synthesis of ultra-low-latency technological infrastructure, continuous multimodal data ingestion pipelines, and highly optimized, non-linear mathematical modeling.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programmatically deploying robust mathematical frameworks—such as the Kelly Criterion for exact position sizing and the integration of advanced risk metrics like the Sortino, Calmar, and Omega ratios directly into the autonomous loss functions of Deep Reinforcement Learning architectures—institutions can successfully capture elusive non-linear alpha. However, the foundational integrity of these highly complex models rests entirely on the absolute eradication of statistical illusions. Strict, uncompromising adherence to out-of-sample Walk-Forward Analysis, Combinatorial Purged Cross-Validation, and the utilization of the Deflated Sharpe Ratio (DSR) ensures that corporate capital is deployed based on genuine, statistically valid predictive edges, rather than the dangerous artifacts of backtest overfitting and data mining.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architectural integration of indirect, highly convex tail-risk hedges ensures that quantitative portfolios remain structurally sound during catastrophic left-tail market events, effectively transforming global market panic into explosive compound growth opportunities. Ultimately, the stability, legality, and longevity of these vast quantitative engines rely on rigorous Model Risk Management. By strictly enforcing independent validation architectures, deploying advanced AI explainability techniques to illuminate black-box neural networks, and maintaining unyielding algorithmic governance over corporate capital allocation risk budgets, financial entities of all sizes can safely navigate the unprecedented complexities of contemporary global markets.</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computational finance, machine learning, and risk ...,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https://journalwjarr.com/sites/default/files/fulltext_pdf/WJARR-2025-1039.pdf</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Models for Financial Risk Assessment - IRE Journals,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https://www.irejournals.com/formatedpaper/1707832.pdf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Integrating Real-Time Financial Data Streams to Enhance ...,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https://www.researchgate.net/publication/393862286_Integrating_Real-Time_Financial_Data_Streams_to_Enhance_Dynamic_Risk_Modeling_and_Portfolio_Decision_Accuracy</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Real-Time Market Data Feeds in Financial Models: Enhancing Accuracy and Decision-Making - Daloopa,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https://daloopa.com/blog/analyst-best-practices/how-to-use-real-time-market-data-feeds-in-financial-models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Investment Strategies Through Market Classification and Volatility: A Machine Learning ApproachResearch supported by ADIALab - arXiv.org,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https://arxiv.org/html/2504.02841v1</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Defense to Offense: Finding True Value of Tail-Risk Hedging,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https://am.gs.com/en-us/advisors/insights/article/2026/finding-true-value-tail-risk-hedging</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Risks Using Tail-Risk Hedging - PIMCO,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https://www.pimco.com/sg/en/resources/education/manage-risks-using-tail-risk-hedging</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The Key to Strategy Validation | Algocrab,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https://www.algocrab.com/blogs/backtesting-strategy-validation</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Model Risk Management Teams Comply with SR 11-7,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https://validmind.com/blog/sr-11-7-model-risk-management-compliance/</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Risk Management,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https://assets.kpmg.com/content/dam/kpmg/in/pdf/2024/11/model-risk-management.pdf</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Data to Dollars: Advanced Techniques in Trading Strategy ...,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https://medium.com/@alexdemachev/from-data-to-dollars-advanced-techniques-in-trading-strategy-backtesting-i-ii-a0869e13698a</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AI models' opacity and risk management challenges ...,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https://www.thomsonreuters.com/en-us/posts/corporates/ai-risk-management-challenges/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Programming Language Should You Learn To Get A Quant Developer Job?,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https://www.quantstart.com/articles/Which-Programming-Language-Should-You-Learn-To-Get-A-Quant-Developer-Job/</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language enquiry for Quant Finance : r/quant - Reddit,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https://www.reddit.com/r/quant/comments/1ag4p93/programming_language_enquiry_for_quant_finance/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QuantConnect Review: Best Platform for Algo Trading? - LuxAlgo,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https://www.luxalgo.com/blog/quantconnect-review-best-platform-for-algo-trading-2/</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insanely awesome libraries, packages and resources for Quants (Quantitative Finance) - GitHub,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https://github.com/wilsonfreitas/awesome-quant</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(&amp; Scripting) Languages used in Quantitative Finance - YouTube,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https://www.youtube.com/watch?v=JHtyJWEvSak</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riskfolio-lib · PyPI,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https://pypi.org/project/riskfolio-lib/</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Backtesting: How to Build Trading Strategies That Actually Work - Medium,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https://medium.com/@trading.dude/the-truth-about-backtesting-how-to-build-trading-strategies-that-actually-work-cdaa13c7df81</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Python Trading Platform/API? : r/algotrading - Reddit,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https://www.reddit.com/r/algotrading/comments/1i4t9e6/what_python_trading_platformapi/</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QuantConnect Review 2026: Features, Pricing, Pros &amp; Cons,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https://newyorkcityservers.com/blog/quantconnect-review</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Real-Time Financial Data Streams to Enhance Dynamic Risk Modeling and Portfolio Decision Accuracy - IJCATR,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https://ijcat.com/archieve/volume14/issue8/ijcatr14081001</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Monte Carlo simulations with ensemble Machine Learning models - AIMS Press,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https://www.aimspress.com/aimspress-data/qfe/2024/2/PDF/QFE-08-02-011.pdf</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Allocation Models for Conglomerates - handle.ae,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https://handle.ae/business-strategy/portfolio-strategy/capital-allocation-models/</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Formalising capital allocation strategies | Deloitte Global,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https://www.deloitte.com/in/en/Industries/energy/perspectives/formalizing-capital-allocation-strategies.html</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Statistical Arbitrage Strategies Explained - WunderTrading,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https://wundertrading.com/journal/en/learn/article/statistical-arbitrage-strategies</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 Radio: Market Neutral Trading Strategy using Statistical Arbitrage - YouTube,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https://www.youtube.com/watch?v=1x-leXwzbZc</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Stat Arb?(Statistical Arbitrage): Understanding Quantitative Trading Strategies in Modern Markets - ExtractAlpha,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https://extractalpha.com/2023/04/18/statistical-arbitrage/</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Profits with Statistical Arbitrage: Step-by-Step Pairs Trading Tutorial - YouTube,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https://www.youtube.com/watch?v=waVUvKjXD6I</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Arbitrage: Strategies, Risks, and How It Works - QuantInsti Blog,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https://blog.quantinsti.com/statistical-arbitrage/</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leverage? Optimize with Kelly - PyQuant News,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https://www.pyquantnews.com/the-pyquant-newsletter/using-leverage-optimize-with-kelly</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Bet Sizing: Kelly Criterion Introduction in Python - YouTube,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https://www.youtube.com/watch?v=6t2sJ0-4PPM</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Learning-Based Cryptocurrency Portfolio Management Using Soft Actor–Critic and Deep Deterministic Policy Gradient Algorithms - arXiv,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https://arxiv.org/html/2511.20678v1</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DeepTrader: A Deep Reinforcement Learning Approach ... - AAAI.org,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https://ojs.aaai.org/index.php/AAAI/article/view/16144/15951</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Sharpe Ratio, Sortino Ratio, and Calmar Ratio | by Will Fowls - Medium,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https://medium.com/@williamchristianfowls/sharpe-ratio-sortino-ratio-and-calmar-ratio-4738a3574fdb</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Markov Decision Process Model and Deep Learning in Quantitative Portfolio Management during the COVID-19 Pandemi,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https://pdfs.semanticscholar.org/7030/1a6e5d859ca106495b26d691a1111f93963b.pdf</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Nikhil-Kumar-Patel/The-deflated-sharpe-ratio - GitHub,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https://github.com/Nikhil-Kumar-Patel/The-deflated-sharpe-ratio</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DEFLATED SHARPE RATIO: CORRECTING ... - David H Bailey,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https://www.davidhbailey.com/dhbpapers/deflated-sharpe.pdf</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Practices for Backtesting Trading Strategies - GoatFundedTrader,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https://www.goatfundedtrader.com/blog/best-practices-for-backtesting-trading-strategies</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Thinking | Tail Hedging Strategies - Thinking Alternative, accessed March 17, 2026, </w:t>
      </w:r>
      <w:hyperlink r:id="rId63">
        <w:r w:rsidDel="00000000" w:rsidR="00000000" w:rsidRPr="00000000">
          <w:rPr>
            <w:rFonts w:ascii="Google Sans" w:cs="Google Sans" w:eastAsia="Google Sans" w:hAnsi="Google Sans"/>
            <w:color w:val="0000ee"/>
            <w:sz w:val="24"/>
            <w:szCs w:val="24"/>
            <w:u w:val="single"/>
            <w:rtl w:val="0"/>
          </w:rPr>
          <w:t xml:space="preserve">https://www.aqr.com/-/media/AQR/Documents/Insights/Alternative-Thinking/Alternative-Thinking-Tail-Hedging-Strategies.pdf</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Taming animal spirits: Tail-risk hedging | Barclays Private Bank, accessed March 17, 2026, </w:t>
      </w:r>
      <w:hyperlink r:id="rId64">
        <w:r w:rsidDel="00000000" w:rsidR="00000000" w:rsidRPr="00000000">
          <w:rPr>
            <w:rFonts w:ascii="Google Sans" w:cs="Google Sans" w:eastAsia="Google Sans" w:hAnsi="Google Sans"/>
            <w:color w:val="0000ee"/>
            <w:sz w:val="24"/>
            <w:szCs w:val="24"/>
            <w:u w:val="single"/>
            <w:rtl w:val="0"/>
          </w:rPr>
          <w:t xml:space="preserve">https://privatebank.barclays.com/insights/market-perspectives-march-2024-03-2024/taming-animal-spirits-tail-risk-hedging/</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Investing in an Overvalued Market and Tail-Risk Hedging - CAIA, accessed March 17, 2026, </w:t>
      </w:r>
      <w:hyperlink r:id="rId65">
        <w:r w:rsidDel="00000000" w:rsidR="00000000" w:rsidRPr="00000000">
          <w:rPr>
            <w:rFonts w:ascii="Google Sans" w:cs="Google Sans" w:eastAsia="Google Sans" w:hAnsi="Google Sans"/>
            <w:color w:val="0000ee"/>
            <w:sz w:val="24"/>
            <w:szCs w:val="24"/>
            <w:u w:val="single"/>
            <w:rtl w:val="0"/>
          </w:rPr>
          <w:t xml:space="preserve">https://caia.org/sites/default/files/6_tail-risk_11-13-17.pdf</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Basel III “Endgame” Reforms Will Transform US Capital Requirements - SIFMA, accessed March 17, 2026, </w:t>
      </w:r>
      <w:hyperlink r:id="rId66">
        <w:r w:rsidDel="00000000" w:rsidR="00000000" w:rsidRPr="00000000">
          <w:rPr>
            <w:rFonts w:ascii="Google Sans" w:cs="Google Sans" w:eastAsia="Google Sans" w:hAnsi="Google Sans"/>
            <w:color w:val="0000ee"/>
            <w:sz w:val="24"/>
            <w:szCs w:val="24"/>
            <w:u w:val="single"/>
            <w:rtl w:val="0"/>
          </w:rPr>
          <w:t xml:space="preserve">https://www.sifma.org/news/blog/how-the-basel-iii-endgame-reforms-will-transform-us-capital-requirements</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CRE36 - IRB approach: minimum requirements to use IRB approach - BIS, accessed March 17, 2026, </w:t>
      </w:r>
      <w:hyperlink r:id="rId67">
        <w:r w:rsidDel="00000000" w:rsidR="00000000" w:rsidRPr="00000000">
          <w:rPr>
            <w:rFonts w:ascii="Google Sans" w:cs="Google Sans" w:eastAsia="Google Sans" w:hAnsi="Google Sans"/>
            <w:color w:val="0000ee"/>
            <w:sz w:val="24"/>
            <w:szCs w:val="24"/>
            <w:u w:val="single"/>
            <w:rtl w:val="0"/>
          </w:rPr>
          <w:t xml:space="preserve">https://www.bis.org/basel_framework/chapter/CRE/36.htm</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Fed - Supervisory Letter SR 11-7 on guidance on Model Risk Management -- April 4, 2011 - Federal Reserve, accessed March 17, 2026, </w:t>
      </w:r>
      <w:hyperlink r:id="rId68">
        <w:r w:rsidDel="00000000" w:rsidR="00000000" w:rsidRPr="00000000">
          <w:rPr>
            <w:rFonts w:ascii="Google Sans" w:cs="Google Sans" w:eastAsia="Google Sans" w:hAnsi="Google Sans"/>
            <w:color w:val="0000ee"/>
            <w:sz w:val="24"/>
            <w:szCs w:val="24"/>
            <w:u w:val="single"/>
            <w:rtl w:val="0"/>
          </w:rPr>
          <w:t xml:space="preserve">https://www.federalreserve.gov/supervisionreg/srletters/sr1107.htm</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Risk Management, Comptroller's Handbook, accessed March 17, 2026, </w:t>
      </w:r>
      <w:hyperlink r:id="rId69">
        <w:r w:rsidDel="00000000" w:rsidR="00000000" w:rsidRPr="00000000">
          <w:rPr>
            <w:rFonts w:ascii="Google Sans" w:cs="Google Sans" w:eastAsia="Google Sans" w:hAnsi="Google Sans"/>
            <w:color w:val="0000ee"/>
            <w:sz w:val="24"/>
            <w:szCs w:val="24"/>
            <w:u w:val="single"/>
            <w:rtl w:val="0"/>
          </w:rPr>
          <w:t xml:space="preserve">https://www.occ.treas.gov/publications-and-resources/publications/comptrollers-handbook/files/model-risk-management/pub-ch-model-risk.pdf</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 11-7 attachment: Supervisory Guidance on Model Risk Management - Federal Reserve, accessed March 17, 2026, </w:t>
      </w:r>
      <w:hyperlink r:id="rId70">
        <w:r w:rsidDel="00000000" w:rsidR="00000000" w:rsidRPr="00000000">
          <w:rPr>
            <w:rFonts w:ascii="Google Sans" w:cs="Google Sans" w:eastAsia="Google Sans" w:hAnsi="Google Sans"/>
            <w:color w:val="0000ee"/>
            <w:sz w:val="24"/>
            <w:szCs w:val="24"/>
            <w:u w:val="single"/>
            <w:rtl w:val="0"/>
          </w:rPr>
          <w:t xml:space="preserve">https://www.federalreserve.gov/supervisionreg/srletters/sr1107a1.pdf</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RISK MANAGEMENT Core Analysis Procedures - FDIC, accessed March 17, 2026, </w:t>
      </w:r>
      <w:hyperlink r:id="rId71">
        <w:r w:rsidDel="00000000" w:rsidR="00000000" w:rsidRPr="00000000">
          <w:rPr>
            <w:rFonts w:ascii="Google Sans" w:cs="Google Sans" w:eastAsia="Google Sans" w:hAnsi="Google Sans"/>
            <w:color w:val="0000ee"/>
            <w:sz w:val="24"/>
            <w:szCs w:val="24"/>
            <w:u w:val="single"/>
            <w:rtl w:val="0"/>
          </w:rPr>
          <w:t xml:space="preserve">https://www.fdic.gov/risk-management-manual-examination-policies/rc-mrm.pdf</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RMA Creates 'Model Risk Framework for Medium-Size and Small Banks' - RMAHQ.org, accessed March 17, 2026, </w:t>
      </w:r>
      <w:hyperlink r:id="rId72">
        <w:r w:rsidDel="00000000" w:rsidR="00000000" w:rsidRPr="00000000">
          <w:rPr>
            <w:rFonts w:ascii="Google Sans" w:cs="Google Sans" w:eastAsia="Google Sans" w:hAnsi="Google Sans"/>
            <w:color w:val="0000ee"/>
            <w:sz w:val="24"/>
            <w:szCs w:val="24"/>
            <w:u w:val="single"/>
            <w:rtl w:val="0"/>
          </w:rPr>
          <w:t xml:space="preserve">https://www.rmahq.org/press-releases/2020/rma-creates-model-risk-framework-for-medium-size-and-small-banks/</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Risk Management - PwC, accessed March 17, 2026, </w:t>
      </w:r>
      <w:hyperlink r:id="rId73">
        <w:r w:rsidDel="00000000" w:rsidR="00000000" w:rsidRPr="00000000">
          <w:rPr>
            <w:rFonts w:ascii="Google Sans" w:cs="Google Sans" w:eastAsia="Google Sans" w:hAnsi="Google Sans"/>
            <w:color w:val="0000ee"/>
            <w:sz w:val="24"/>
            <w:szCs w:val="24"/>
            <w:u w:val="single"/>
            <w:rtl w:val="0"/>
          </w:rPr>
          <w:t xml:space="preserve">https://www.pwc.com/cz/cs/assets/PwC_Model_Risk_Management_Survey_April_2022_Report_Final.pdf</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Regulating AI in the financial sector: recent developments and main challenges, accessed March 17, 2026, </w:t>
      </w:r>
      <w:hyperlink r:id="rId74">
        <w:r w:rsidDel="00000000" w:rsidR="00000000" w:rsidRPr="00000000">
          <w:rPr>
            <w:rFonts w:ascii="Google Sans" w:cs="Google Sans" w:eastAsia="Google Sans" w:hAnsi="Google Sans"/>
            <w:color w:val="0000ee"/>
            <w:sz w:val="24"/>
            <w:szCs w:val="24"/>
            <w:u w:val="single"/>
            <w:rtl w:val="0"/>
          </w:rPr>
          <w:t xml:space="preserve">https://www.bis.org/fsi/publ/insights63.htm</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ISACA Now Blog 2024 AI and Risk Management A Strategic Guide for CIOs and CISOs in Financial Services, accessed March 17, 2026, </w:t>
      </w:r>
      <w:hyperlink r:id="rId75">
        <w:r w:rsidDel="00000000" w:rsidR="00000000" w:rsidRPr="00000000">
          <w:rPr>
            <w:rFonts w:ascii="Google Sans" w:cs="Google Sans" w:eastAsia="Google Sans" w:hAnsi="Google Sans"/>
            <w:color w:val="0000ee"/>
            <w:sz w:val="24"/>
            <w:szCs w:val="24"/>
            <w:u w:val="single"/>
            <w:rtl w:val="0"/>
          </w:rPr>
          <w:t xml:space="preserve">https://www.isaca.org/resources/news-and-trends/isaca-now-blog/2024/ai-and-risk-management-a-strategic-guide-for-cios-and-cisos-in-financial-services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JHtyJWEvSak" TargetMode="External"/><Relationship Id="rId42" Type="http://schemas.openxmlformats.org/officeDocument/2006/relationships/hyperlink" Target="https://medium.com/@trading.dude/the-truth-about-backtesting-how-to-build-trading-strategies-that-actually-work-cdaa13c7df81" TargetMode="External"/><Relationship Id="rId41" Type="http://schemas.openxmlformats.org/officeDocument/2006/relationships/hyperlink" Target="https://pypi.org/project/riskfolio-lib/" TargetMode="External"/><Relationship Id="rId44" Type="http://schemas.openxmlformats.org/officeDocument/2006/relationships/hyperlink" Target="https://newyorkcityservers.com/blog/quantconnect-review" TargetMode="External"/><Relationship Id="rId43" Type="http://schemas.openxmlformats.org/officeDocument/2006/relationships/hyperlink" Target="https://www.reddit.com/r/algotrading/comments/1i4t9e6/what_python_trading_platformapi/" TargetMode="External"/><Relationship Id="rId46" Type="http://schemas.openxmlformats.org/officeDocument/2006/relationships/hyperlink" Target="https://www.aimspress.com/aimspress-data/qfe/2024/2/PDF/QFE-08-02-011.pdf" TargetMode="External"/><Relationship Id="rId45" Type="http://schemas.openxmlformats.org/officeDocument/2006/relationships/hyperlink" Target="https://ijcat.com/archieve/volume14/issue8/ijcatr14081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deloitte.com/in/en/Industries/energy/perspectives/formalizing-capital-allocation-strategies.html" TargetMode="External"/><Relationship Id="rId47" Type="http://schemas.openxmlformats.org/officeDocument/2006/relationships/hyperlink" Target="https://handle.ae/business-strategy/portfolio-strategy/capital-allocation-models/" TargetMode="External"/><Relationship Id="rId49" Type="http://schemas.openxmlformats.org/officeDocument/2006/relationships/hyperlink" Target="https://wundertrading.com/journal/en/learn/article/statistical-arbitrage-strategie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 Id="rId73" Type="http://schemas.openxmlformats.org/officeDocument/2006/relationships/hyperlink" Target="https://www.pwc.com/cz/cs/assets/PwC_Model_Risk_Management_Survey_April_2022_Report_Final.pdf" TargetMode="External"/><Relationship Id="rId72" Type="http://schemas.openxmlformats.org/officeDocument/2006/relationships/hyperlink" Target="https://www.rmahq.org/press-releases/2020/rma-creates-model-risk-framework-for-medium-size-and-small-banks/" TargetMode="External"/><Relationship Id="rId31" Type="http://schemas.openxmlformats.org/officeDocument/2006/relationships/hyperlink" Target="https://www.algocrab.com/blogs/backtesting-strategy-validation" TargetMode="External"/><Relationship Id="rId75" Type="http://schemas.openxmlformats.org/officeDocument/2006/relationships/hyperlink" Target="https://www.isaca.org/resources/news-and-trends/isaca-now-blog/2024/ai-and-risk-management-a-strategic-guide-for-cios-and-cisos-in-financial-services" TargetMode="External"/><Relationship Id="rId30" Type="http://schemas.openxmlformats.org/officeDocument/2006/relationships/hyperlink" Target="https://www.pimco.com/sg/en/resources/education/manage-risks-using-tail-risk-hedging" TargetMode="External"/><Relationship Id="rId74" Type="http://schemas.openxmlformats.org/officeDocument/2006/relationships/hyperlink" Target="https://www.bis.org/fsi/publ/insights63.htm" TargetMode="External"/><Relationship Id="rId33" Type="http://schemas.openxmlformats.org/officeDocument/2006/relationships/hyperlink" Target="https://assets.kpmg.com/content/dam/kpmg/in/pdf/2024/11/model-risk-management.pdf" TargetMode="External"/><Relationship Id="rId32" Type="http://schemas.openxmlformats.org/officeDocument/2006/relationships/hyperlink" Target="https://validmind.com/blog/sr-11-7-model-risk-management-compliance/" TargetMode="External"/><Relationship Id="rId35" Type="http://schemas.openxmlformats.org/officeDocument/2006/relationships/hyperlink" Target="https://www.thomsonreuters.com/en-us/posts/corporates/ai-risk-management-challenges/" TargetMode="External"/><Relationship Id="rId34" Type="http://schemas.openxmlformats.org/officeDocument/2006/relationships/hyperlink" Target="https://medium.com/@alexdemachev/from-data-to-dollars-advanced-techniques-in-trading-strategy-backtesting-i-ii-a0869e13698a" TargetMode="External"/><Relationship Id="rId71" Type="http://schemas.openxmlformats.org/officeDocument/2006/relationships/hyperlink" Target="https://www.fdic.gov/risk-management-manual-examination-policies/rc-mrm.pdf" TargetMode="External"/><Relationship Id="rId70" Type="http://schemas.openxmlformats.org/officeDocument/2006/relationships/hyperlink" Target="https://www.federalreserve.gov/supervisionreg/srletters/sr1107a1.pdf" TargetMode="External"/><Relationship Id="rId37" Type="http://schemas.openxmlformats.org/officeDocument/2006/relationships/hyperlink" Target="https://www.reddit.com/r/quant/comments/1ag4p93/programming_language_enquiry_for_quant_finance/" TargetMode="External"/><Relationship Id="rId36" Type="http://schemas.openxmlformats.org/officeDocument/2006/relationships/hyperlink" Target="https://www.quantstart.com/articles/Which-Programming-Language-Should-You-Learn-To-Get-A-Quant-Developer-Job/" TargetMode="External"/><Relationship Id="rId39" Type="http://schemas.openxmlformats.org/officeDocument/2006/relationships/hyperlink" Target="https://github.com/wilsonfreitas/awesome-quant" TargetMode="External"/><Relationship Id="rId38" Type="http://schemas.openxmlformats.org/officeDocument/2006/relationships/hyperlink" Target="https://www.luxalgo.com/blog/quantconnect-review-best-platform-for-algo-trading-2/" TargetMode="External"/><Relationship Id="rId62" Type="http://schemas.openxmlformats.org/officeDocument/2006/relationships/hyperlink" Target="https://www.goatfundedtrader.com/blog/best-practices-for-backtesting-trading-strategies" TargetMode="External"/><Relationship Id="rId61" Type="http://schemas.openxmlformats.org/officeDocument/2006/relationships/hyperlink" Target="https://www.davidhbailey.com/dhbpapers/deflated-sharpe.pdf" TargetMode="External"/><Relationship Id="rId20" Type="http://schemas.openxmlformats.org/officeDocument/2006/relationships/image" Target="media/image17.png"/><Relationship Id="rId64" Type="http://schemas.openxmlformats.org/officeDocument/2006/relationships/hyperlink" Target="https://privatebank.barclays.com/insights/market-perspectives-march-2024-03-2024/taming-animal-spirits-tail-risk-hedging/" TargetMode="External"/><Relationship Id="rId63" Type="http://schemas.openxmlformats.org/officeDocument/2006/relationships/hyperlink" Target="https://www.aqr.com/-/media/AQR/Documents/Insights/Alternative-Thinking/Alternative-Thinking-Tail-Hedging-Strategies.pdf" TargetMode="External"/><Relationship Id="rId22" Type="http://schemas.openxmlformats.org/officeDocument/2006/relationships/image" Target="media/image7.png"/><Relationship Id="rId66" Type="http://schemas.openxmlformats.org/officeDocument/2006/relationships/hyperlink" Target="https://www.sifma.org/news/blog/how-the-basel-iii-endgame-reforms-will-transform-us-capital-requirements" TargetMode="External"/><Relationship Id="rId21" Type="http://schemas.openxmlformats.org/officeDocument/2006/relationships/image" Target="media/image2.png"/><Relationship Id="rId65" Type="http://schemas.openxmlformats.org/officeDocument/2006/relationships/hyperlink" Target="https://caia.org/sites/default/files/6_tail-risk_11-13-17.pdf" TargetMode="External"/><Relationship Id="rId24" Type="http://schemas.openxmlformats.org/officeDocument/2006/relationships/hyperlink" Target="https://journalwjarr.com/sites/default/files/fulltext_pdf/WJARR-2025-1039.pdf" TargetMode="External"/><Relationship Id="rId68" Type="http://schemas.openxmlformats.org/officeDocument/2006/relationships/hyperlink" Target="https://www.federalreserve.gov/supervisionreg/srletters/sr1107.htm" TargetMode="External"/><Relationship Id="rId23" Type="http://schemas.openxmlformats.org/officeDocument/2006/relationships/image" Target="media/image10.png"/><Relationship Id="rId67" Type="http://schemas.openxmlformats.org/officeDocument/2006/relationships/hyperlink" Target="https://www.bis.org/basel_framework/chapter/CRE/36.htm" TargetMode="External"/><Relationship Id="rId60" Type="http://schemas.openxmlformats.org/officeDocument/2006/relationships/hyperlink" Target="https://github.com/Nikhil-Kumar-Patel/The-deflated-sharpe-ratio" TargetMode="External"/><Relationship Id="rId26" Type="http://schemas.openxmlformats.org/officeDocument/2006/relationships/hyperlink" Target="https://www.researchgate.net/publication/393862286_Integrating_Real-Time_Financial_Data_Streams_to_Enhance_Dynamic_Risk_Modeling_and_Portfolio_Decision_Accuracy" TargetMode="External"/><Relationship Id="rId25" Type="http://schemas.openxmlformats.org/officeDocument/2006/relationships/hyperlink" Target="https://www.irejournals.com/formatedpaper/1707832.pdf" TargetMode="External"/><Relationship Id="rId69" Type="http://schemas.openxmlformats.org/officeDocument/2006/relationships/hyperlink" Target="https://www.occ.treas.gov/publications-and-resources/publications/comptrollers-handbook/files/model-risk-management/pub-ch-model-risk.pdf" TargetMode="External"/><Relationship Id="rId28" Type="http://schemas.openxmlformats.org/officeDocument/2006/relationships/hyperlink" Target="https://arxiv.org/html/2504.02841v1" TargetMode="External"/><Relationship Id="rId27" Type="http://schemas.openxmlformats.org/officeDocument/2006/relationships/hyperlink" Target="https://daloopa.com/blog/analyst-best-practices/how-to-use-real-time-market-data-feeds-in-financial-models" TargetMode="External"/><Relationship Id="rId29" Type="http://schemas.openxmlformats.org/officeDocument/2006/relationships/hyperlink" Target="https://am.gs.com/en-us/advisors/insights/article/2026/finding-true-value-tail-risk-hedging" TargetMode="External"/><Relationship Id="rId51" Type="http://schemas.openxmlformats.org/officeDocument/2006/relationships/hyperlink" Target="https://extractalpha.com/2023/04/18/statistical-arbitrage/" TargetMode="External"/><Relationship Id="rId50" Type="http://schemas.openxmlformats.org/officeDocument/2006/relationships/hyperlink" Target="https://www.youtube.com/watch?v=1x-leXwzbZc" TargetMode="External"/><Relationship Id="rId53" Type="http://schemas.openxmlformats.org/officeDocument/2006/relationships/hyperlink" Target="https://blog.quantinsti.com/statistical-arbitrage/" TargetMode="External"/><Relationship Id="rId52" Type="http://schemas.openxmlformats.org/officeDocument/2006/relationships/hyperlink" Target="https://www.youtube.com/watch?v=waVUvKjXD6I" TargetMode="External"/><Relationship Id="rId11" Type="http://schemas.openxmlformats.org/officeDocument/2006/relationships/image" Target="media/image11.png"/><Relationship Id="rId55" Type="http://schemas.openxmlformats.org/officeDocument/2006/relationships/hyperlink" Target="https://www.youtube.com/watch?v=6t2sJ0-4PPM" TargetMode="External"/><Relationship Id="rId10" Type="http://schemas.openxmlformats.org/officeDocument/2006/relationships/image" Target="media/image6.png"/><Relationship Id="rId54" Type="http://schemas.openxmlformats.org/officeDocument/2006/relationships/hyperlink" Target="https://www.pyquantnews.com/the-pyquant-newsletter/using-leverage-optimize-with-kelly" TargetMode="External"/><Relationship Id="rId13" Type="http://schemas.openxmlformats.org/officeDocument/2006/relationships/image" Target="media/image12.png"/><Relationship Id="rId57" Type="http://schemas.openxmlformats.org/officeDocument/2006/relationships/hyperlink" Target="https://ojs.aaai.org/index.php/AAAI/article/view/16144/15951" TargetMode="External"/><Relationship Id="rId12" Type="http://schemas.openxmlformats.org/officeDocument/2006/relationships/image" Target="media/image9.png"/><Relationship Id="rId56" Type="http://schemas.openxmlformats.org/officeDocument/2006/relationships/hyperlink" Target="https://arxiv.org/html/2511.20678v1" TargetMode="External"/><Relationship Id="rId15" Type="http://schemas.openxmlformats.org/officeDocument/2006/relationships/image" Target="media/image14.png"/><Relationship Id="rId59" Type="http://schemas.openxmlformats.org/officeDocument/2006/relationships/hyperlink" Target="https://pdfs.semanticscholar.org/7030/1a6e5d859ca106495b26d691a1111f93963b.pdf" TargetMode="External"/><Relationship Id="rId14" Type="http://schemas.openxmlformats.org/officeDocument/2006/relationships/image" Target="media/image13.png"/><Relationship Id="rId58" Type="http://schemas.openxmlformats.org/officeDocument/2006/relationships/hyperlink" Target="https://medium.com/@williamchristianfowls/sharpe-ratio-sortino-ratio-and-calmar-ratio-4738a3574fdb" TargetMode="External"/><Relationship Id="rId17" Type="http://schemas.openxmlformats.org/officeDocument/2006/relationships/image" Target="media/image18.png"/><Relationship Id="rId16"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