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analysis highlights the stark differences in CO₂ emissions across major economic sectors. In 2022, the Energy sector stood out as the largest emitter, averaging approximately 14.65 gigatonnes of CO₂. This figure significantly exceeded emissions from sectors like Transportation (6.45 Gt) and Manufacturing/Construction (6.16 Gt). The results of a one-way ANOVA test confirmed that these differences are statistically significant (F = 94.43, p &lt; 0.001), reinforcing the need to examine emissions on a sector-by-sector basis rather than treating them as uniform.</w:t>
      </w:r>
    </w:p>
    <w:p w:rsidR="00000000" w:rsidDel="00000000" w:rsidP="00000000" w:rsidRDefault="00000000" w:rsidRPr="00000000" w14:paraId="00000002">
      <w:pPr>
        <w:spacing w:after="240" w:before="240" w:lineRule="auto"/>
        <w:rPr/>
      </w:pPr>
      <w:r w:rsidDel="00000000" w:rsidR="00000000" w:rsidRPr="00000000">
        <w:rPr>
          <w:rtl w:val="0"/>
        </w:rPr>
        <w:t xml:space="preserve">Further investigation using linear regression revealed a strong upward trend in Energy sector emissions from 1990 to 2022, with an R² value of 0.87. Emissions in this sector rose from about 8.5 Gt to over 14.6 Gt during this period, indicating persistent growth despite growing awareness of climate change. These findings stress the importance of targeted climate strategies, particularly in the Energy and Transportation sectors, to effectively address the drivers of global emissions and support efforts toward sustainable development.</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