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A2934" w14:textId="77777777" w:rsidR="00007976" w:rsidRPr="00DD3F88" w:rsidRDefault="00007976" w:rsidP="00007976">
      <w:pPr>
        <w:rPr>
          <w:rFonts w:ascii="Aptos Serif" w:hAnsi="Aptos Serif" w:cs="Aptos Serif"/>
          <w:sz w:val="22"/>
          <w:szCs w:val="22"/>
        </w:rPr>
      </w:pPr>
      <w:r w:rsidRPr="00DD3F88">
        <w:rPr>
          <w:rFonts w:ascii="Aptos Serif" w:hAnsi="Aptos Serif" w:cs="Aptos Serif"/>
          <w:noProof/>
          <w:sz w:val="22"/>
          <w:szCs w:val="22"/>
        </w:rPr>
        <w:drawing>
          <wp:inline distT="0" distB="0" distL="0" distR="0" wp14:anchorId="433347F4" wp14:editId="2197D95B">
            <wp:extent cx="4873925" cy="2853690"/>
            <wp:effectExtent l="0" t="0" r="3175" b="3810"/>
            <wp:docPr id="180760237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925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3F88">
        <w:rPr>
          <w:rFonts w:ascii="Aptos Serif" w:hAnsi="Aptos Serif" w:cs="Aptos Serif"/>
          <w:noProof/>
          <w:sz w:val="22"/>
          <w:szCs w:val="22"/>
        </w:rPr>
        <w:drawing>
          <wp:inline distT="0" distB="0" distL="0" distR="0" wp14:anchorId="6B3FCD0D" wp14:editId="2100E4CC">
            <wp:extent cx="4908431" cy="2877820"/>
            <wp:effectExtent l="0" t="0" r="6985" b="0"/>
            <wp:docPr id="149191702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413" cy="299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B8144" w14:textId="77777777" w:rsidR="00007976" w:rsidRPr="00DD3F88" w:rsidRDefault="00007976" w:rsidP="00007976">
      <w:pPr>
        <w:rPr>
          <w:rFonts w:ascii="Aptos Serif" w:hAnsi="Aptos Serif" w:cs="Aptos Serif"/>
          <w:sz w:val="22"/>
          <w:szCs w:val="22"/>
        </w:rPr>
      </w:pPr>
    </w:p>
    <w:p w14:paraId="5F2ACB38" w14:textId="77777777" w:rsidR="00602AD7" w:rsidRPr="00DD3F88" w:rsidRDefault="00007976" w:rsidP="00007976">
      <w:pPr>
        <w:rPr>
          <w:rFonts w:ascii="Aptos Serif" w:hAnsi="Aptos Serif" w:cs="Aptos Serif"/>
          <w:sz w:val="22"/>
          <w:szCs w:val="22"/>
        </w:rPr>
      </w:pPr>
      <w:r w:rsidRPr="00DD3F88">
        <w:rPr>
          <w:rFonts w:ascii="Aptos Serif" w:hAnsi="Aptos Serif" w:cs="Aptos Serif"/>
          <w:noProof/>
          <w:sz w:val="22"/>
          <w:szCs w:val="22"/>
        </w:rPr>
        <w:drawing>
          <wp:inline distT="0" distB="0" distL="0" distR="0" wp14:anchorId="64F08EFC" wp14:editId="72EA58B3">
            <wp:extent cx="4882551" cy="2880326"/>
            <wp:effectExtent l="0" t="0" r="0" b="0"/>
            <wp:docPr id="142584379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962" cy="2890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3F88">
        <w:rPr>
          <w:rFonts w:ascii="Aptos Serif" w:hAnsi="Aptos Serif" w:cs="Aptos Serif"/>
          <w:noProof/>
          <w:sz w:val="22"/>
          <w:szCs w:val="22"/>
        </w:rPr>
        <w:drawing>
          <wp:inline distT="0" distB="0" distL="0" distR="0" wp14:anchorId="4EDDA7F8" wp14:editId="1F99D6B6">
            <wp:extent cx="5089525" cy="2879696"/>
            <wp:effectExtent l="0" t="0" r="0" b="0"/>
            <wp:docPr id="21290960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25" cy="287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6A2A5" w14:textId="77777777" w:rsidR="005659D5" w:rsidRDefault="005659D5" w:rsidP="00DD3F88">
      <w:pPr>
        <w:rPr>
          <w:rFonts w:ascii="Aptos Serif" w:hAnsi="Aptos Serif" w:cs="Aptos Serif"/>
          <w:sz w:val="22"/>
          <w:szCs w:val="22"/>
        </w:rPr>
      </w:pPr>
    </w:p>
    <w:p w14:paraId="07C3020F" w14:textId="189DDF27" w:rsidR="00DD3F88" w:rsidRPr="00DD3F88" w:rsidRDefault="00DD3F88" w:rsidP="00DD3F88">
      <w:pPr>
        <w:rPr>
          <w:rFonts w:ascii="Aptos Serif" w:hAnsi="Aptos Serif" w:cs="Aptos Serif"/>
          <w:sz w:val="22"/>
          <w:szCs w:val="22"/>
        </w:rPr>
      </w:pPr>
      <w:r w:rsidRPr="00DD3F88">
        <w:rPr>
          <w:rFonts w:ascii="Aptos Serif" w:hAnsi="Aptos Serif" w:cs="Aptos Serif"/>
          <w:sz w:val="22"/>
          <w:szCs w:val="22"/>
        </w:rPr>
        <w:lastRenderedPageBreak/>
        <w:t>El análisis nos permite visualizar de manera clara y concisa las diferencias en la esperanza de vida entre varones y mujeres, así como también su densidad poblacional a nivel país.</w:t>
      </w:r>
    </w:p>
    <w:p w14:paraId="5F329D57" w14:textId="77777777" w:rsidR="00DD3F88" w:rsidRPr="00DD3F88" w:rsidRDefault="00DD3F88" w:rsidP="00DD3F88">
      <w:pPr>
        <w:rPr>
          <w:rFonts w:ascii="Aptos Serif" w:hAnsi="Aptos Serif" w:cs="Aptos Serif"/>
          <w:sz w:val="22"/>
          <w:szCs w:val="22"/>
        </w:rPr>
      </w:pPr>
      <w:r w:rsidRPr="00DD3F88">
        <w:rPr>
          <w:rFonts w:ascii="Aptos Serif" w:hAnsi="Aptos Serif" w:cs="Aptos Serif"/>
          <w:sz w:val="22"/>
          <w:szCs w:val="22"/>
        </w:rPr>
        <w:t xml:space="preserve">Existen diversas explicaciones para la brecha en la esperanza de vida entre géneros, incluyendo: </w:t>
      </w:r>
    </w:p>
    <w:p w14:paraId="33CAECAC" w14:textId="77777777" w:rsidR="00DD3F88" w:rsidRPr="00DD3F88" w:rsidRDefault="00DD3F88" w:rsidP="00DD3F88">
      <w:pPr>
        <w:rPr>
          <w:rFonts w:ascii="Aptos Serif" w:hAnsi="Aptos Serif" w:cs="Aptos Serif"/>
          <w:sz w:val="22"/>
          <w:szCs w:val="22"/>
        </w:rPr>
      </w:pPr>
      <w:r w:rsidRPr="00DD3F88">
        <w:rPr>
          <w:rFonts w:ascii="Aptos Serif" w:hAnsi="Aptos Serif" w:cs="Aptos Serif"/>
          <w:sz w:val="22"/>
          <w:szCs w:val="22"/>
        </w:rPr>
        <w:t>Diferencias cromosómicas: se sabe q las mujeres tienen dos cromosomas X que favorecen a la longevidad y reparación del ADN.</w:t>
      </w:r>
    </w:p>
    <w:p w14:paraId="0AE642B4" w14:textId="77777777" w:rsidR="00DD3F88" w:rsidRPr="00DD3F88" w:rsidRDefault="00DD3F88" w:rsidP="00DD3F88">
      <w:pPr>
        <w:rPr>
          <w:rFonts w:ascii="Aptos Serif" w:hAnsi="Aptos Serif" w:cs="Aptos Serif"/>
          <w:sz w:val="22"/>
          <w:szCs w:val="22"/>
        </w:rPr>
      </w:pPr>
      <w:r w:rsidRPr="00DD3F88">
        <w:rPr>
          <w:rFonts w:ascii="Aptos Serif" w:hAnsi="Aptos Serif" w:cs="Aptos Serif"/>
          <w:sz w:val="22"/>
          <w:szCs w:val="22"/>
        </w:rPr>
        <w:t>Sistema Inmunológico: Las mujeres generalmente presentan un sistema inmunológico más fuerte que los hombres, lo que las hace más resistentes a infecciones y enfermedades.</w:t>
      </w:r>
    </w:p>
    <w:p w14:paraId="3E999A0E" w14:textId="77777777" w:rsidR="00DD3F88" w:rsidRPr="00DD3F88" w:rsidRDefault="00DD3F88" w:rsidP="00DD3F88">
      <w:pPr>
        <w:spacing w:before="100" w:beforeAutospacing="1" w:after="100" w:afterAutospacing="1" w:line="240" w:lineRule="auto"/>
        <w:rPr>
          <w:rFonts w:ascii="Aptos Serif" w:eastAsia="Times New Roman" w:hAnsi="Aptos Serif" w:cs="Aptos Serif"/>
          <w:kern w:val="0"/>
          <w:sz w:val="22"/>
          <w:szCs w:val="22"/>
          <w:lang w:eastAsia="es-AR"/>
          <w14:ligatures w14:val="none"/>
        </w:rPr>
      </w:pPr>
      <w:r w:rsidRPr="00DD3F88">
        <w:rPr>
          <w:rFonts w:ascii="Aptos Serif" w:hAnsi="Aptos Serif" w:cs="Aptos Serif"/>
          <w:sz w:val="22"/>
          <w:szCs w:val="22"/>
        </w:rPr>
        <w:t xml:space="preserve">Hormonales:  </w:t>
      </w:r>
      <w:r w:rsidRPr="00DD3F88">
        <w:rPr>
          <w:rFonts w:ascii="Aptos Serif" w:eastAsia="Times New Roman" w:hAnsi="Aptos Serif" w:cs="Aptos Serif"/>
          <w:kern w:val="0"/>
          <w:sz w:val="22"/>
          <w:szCs w:val="22"/>
          <w:lang w:eastAsia="es-AR"/>
          <w14:ligatures w14:val="none"/>
        </w:rPr>
        <w:t>Las hormonas femeninas, como el estrógeno, podrían tener efectos protectores contra enfermedades cardiovasculares y algunos tipos de cáncer.</w:t>
      </w:r>
    </w:p>
    <w:p w14:paraId="25B7DA70" w14:textId="77777777" w:rsidR="00DD3F88" w:rsidRPr="00DD3F88" w:rsidRDefault="00DD3F88" w:rsidP="00DD3F88">
      <w:pPr>
        <w:spacing w:before="100" w:beforeAutospacing="1" w:after="100" w:afterAutospacing="1" w:line="240" w:lineRule="auto"/>
        <w:rPr>
          <w:rFonts w:ascii="Aptos Serif" w:eastAsia="Times New Roman" w:hAnsi="Aptos Serif" w:cs="Aptos Serif"/>
          <w:kern w:val="0"/>
          <w:sz w:val="22"/>
          <w:szCs w:val="22"/>
          <w:lang w:eastAsia="es-AR"/>
          <w14:ligatures w14:val="none"/>
        </w:rPr>
      </w:pPr>
    </w:p>
    <w:p w14:paraId="1943BBE1" w14:textId="77777777" w:rsidR="00DD3F88" w:rsidRPr="00DD3F88" w:rsidRDefault="00DD3F88" w:rsidP="00DD3F88">
      <w:pPr>
        <w:spacing w:before="100" w:beforeAutospacing="1" w:after="100" w:afterAutospacing="1" w:line="240" w:lineRule="auto"/>
        <w:rPr>
          <w:rFonts w:ascii="Aptos Serif" w:hAnsi="Aptos Serif" w:cs="Aptos Serif"/>
          <w:sz w:val="22"/>
          <w:szCs w:val="22"/>
        </w:rPr>
      </w:pPr>
      <w:r w:rsidRPr="00DD3F88">
        <w:rPr>
          <w:rFonts w:ascii="Aptos Serif" w:eastAsia="Times New Roman" w:hAnsi="Aptos Serif" w:cs="Aptos Serif"/>
          <w:kern w:val="0"/>
          <w:sz w:val="22"/>
          <w:szCs w:val="22"/>
          <w:lang w:eastAsia="es-AR"/>
          <w14:ligatures w14:val="none"/>
        </w:rPr>
        <w:t xml:space="preserve">Comportamientos de riesgo: </w:t>
      </w:r>
      <w:r w:rsidRPr="00DD3F88">
        <w:rPr>
          <w:rFonts w:ascii="Aptos Serif" w:hAnsi="Aptos Serif" w:cs="Aptos Serif"/>
          <w:sz w:val="22"/>
          <w:szCs w:val="22"/>
        </w:rPr>
        <w:t>Los hombres tienen mayor prevalencia de comportamientos riesgosos como fumar, consumo excesivo de alcohol y conducción temeraria, lo que aumenta su riesgo de muerte prematura.</w:t>
      </w:r>
    </w:p>
    <w:p w14:paraId="568B5B43" w14:textId="77777777" w:rsidR="00DD3F88" w:rsidRPr="00DD3F88" w:rsidRDefault="00DD3F88" w:rsidP="00DD3F88">
      <w:pPr>
        <w:spacing w:before="100" w:beforeAutospacing="1" w:after="100" w:afterAutospacing="1" w:line="240" w:lineRule="auto"/>
        <w:rPr>
          <w:rFonts w:ascii="Aptos Serif" w:hAnsi="Aptos Serif" w:cs="Aptos Serif"/>
          <w:sz w:val="22"/>
          <w:szCs w:val="22"/>
        </w:rPr>
      </w:pPr>
      <w:r w:rsidRPr="00DD3F88">
        <w:rPr>
          <w:rFonts w:ascii="Aptos Serif" w:hAnsi="Aptos Serif" w:cs="Aptos Serif"/>
          <w:sz w:val="22"/>
          <w:szCs w:val="22"/>
        </w:rPr>
        <w:t>Acceso a la atención medica: Las mujeres en algunos países y grupos socioeconómicos pueden tener menor acceso a atención médica preventiva y de calidad, lo que afecta negativamente su salud y esperanza de vida.</w:t>
      </w:r>
    </w:p>
    <w:p w14:paraId="3B38FFD8" w14:textId="77777777" w:rsidR="00DD3F88" w:rsidRPr="00DD3F88" w:rsidRDefault="00DD3F88" w:rsidP="00DD3F88">
      <w:pPr>
        <w:spacing w:before="100" w:beforeAutospacing="1" w:after="100" w:afterAutospacing="1" w:line="240" w:lineRule="auto"/>
        <w:rPr>
          <w:rFonts w:ascii="Aptos Serif" w:hAnsi="Aptos Serif" w:cs="Aptos Serif"/>
          <w:sz w:val="22"/>
          <w:szCs w:val="22"/>
        </w:rPr>
      </w:pPr>
      <w:r w:rsidRPr="00DD3F88">
        <w:rPr>
          <w:rFonts w:ascii="Aptos Serif" w:hAnsi="Aptos Serif" w:cs="Aptos Serif"/>
          <w:sz w:val="22"/>
          <w:szCs w:val="22"/>
        </w:rPr>
        <w:t>Violencia: La violencia contra las mujeres, incluyendo la violencia doméstica y el feminicidio, es una importante causa de muerte y discapacidad en todo el mundo, impactando en la esperanza de vida femenina.</w:t>
      </w:r>
    </w:p>
    <w:p w14:paraId="14BBC788" w14:textId="77777777" w:rsidR="00DD3F88" w:rsidRPr="00DD3F88" w:rsidRDefault="00DD3F88" w:rsidP="00DD3F88">
      <w:pPr>
        <w:spacing w:before="100" w:beforeAutospacing="1" w:after="100" w:afterAutospacing="1" w:line="240" w:lineRule="auto"/>
        <w:rPr>
          <w:rFonts w:ascii="Aptos Serif" w:hAnsi="Aptos Serif" w:cs="Aptos Serif"/>
          <w:sz w:val="22"/>
          <w:szCs w:val="22"/>
        </w:rPr>
      </w:pPr>
      <w:r w:rsidRPr="00DD3F88">
        <w:rPr>
          <w:rFonts w:ascii="Aptos Serif" w:hAnsi="Aptos Serif" w:cs="Aptos Serif"/>
          <w:sz w:val="22"/>
          <w:szCs w:val="22"/>
        </w:rPr>
        <w:t>Cargas de cuidado: Las mujeres suelen asumir una mayor proporción de las responsabilidades de cuidado del hogar y la familia, lo que puede afectar su salud física y mental y limitar sus oportunidades de desarrollo personal y profesional.</w:t>
      </w:r>
    </w:p>
    <w:p w14:paraId="02E25984" w14:textId="77777777" w:rsidR="00DD3F88" w:rsidRPr="00DD3F88" w:rsidRDefault="00DD3F88" w:rsidP="00DD3F88">
      <w:pPr>
        <w:spacing w:before="100" w:beforeAutospacing="1" w:after="100" w:afterAutospacing="1" w:line="240" w:lineRule="auto"/>
        <w:rPr>
          <w:rFonts w:ascii="Aptos Serif" w:hAnsi="Aptos Serif" w:cs="Aptos Serif"/>
          <w:sz w:val="22"/>
          <w:szCs w:val="22"/>
        </w:rPr>
      </w:pPr>
      <w:r w:rsidRPr="00DD3F88">
        <w:rPr>
          <w:rFonts w:ascii="Aptos Serif" w:hAnsi="Aptos Serif" w:cs="Aptos Serif"/>
          <w:sz w:val="22"/>
          <w:szCs w:val="22"/>
        </w:rPr>
        <w:t>Pobreza: La pobreza está asociada a una menor esperanza de vida en general, y su impacto puede ser más severo en las mujeres debido a la discriminación de género y el menor acceso a recursos básicos.</w:t>
      </w:r>
    </w:p>
    <w:p w14:paraId="4090DDC4" w14:textId="77777777" w:rsidR="00DD3F88" w:rsidRPr="00DD3F88" w:rsidRDefault="00DD3F88" w:rsidP="00DD3F88">
      <w:pPr>
        <w:spacing w:before="100" w:beforeAutospacing="1" w:after="100" w:afterAutospacing="1" w:line="240" w:lineRule="auto"/>
        <w:rPr>
          <w:rFonts w:ascii="Aptos Serif" w:hAnsi="Aptos Serif" w:cs="Aptos Serif"/>
          <w:sz w:val="22"/>
          <w:szCs w:val="22"/>
        </w:rPr>
      </w:pPr>
      <w:r w:rsidRPr="00DD3F88">
        <w:rPr>
          <w:rFonts w:ascii="Aptos Serif" w:hAnsi="Aptos Serif" w:cs="Aptos Serif"/>
          <w:sz w:val="22"/>
          <w:szCs w:val="22"/>
        </w:rPr>
        <w:t>Educación: Las mujeres con menor nivel educativo suelen tener peores indicadores de salud y esperanza de vida</w:t>
      </w:r>
    </w:p>
    <w:p w14:paraId="1098869E" w14:textId="77777777" w:rsidR="00DD3F88" w:rsidRPr="00DD3F88" w:rsidRDefault="00DD3F88" w:rsidP="00DD3F88">
      <w:pPr>
        <w:spacing w:before="100" w:beforeAutospacing="1" w:after="100" w:afterAutospacing="1" w:line="240" w:lineRule="auto"/>
        <w:rPr>
          <w:rFonts w:ascii="Aptos Serif" w:hAnsi="Aptos Serif" w:cs="Aptos Serif"/>
          <w:sz w:val="22"/>
          <w:szCs w:val="22"/>
        </w:rPr>
      </w:pPr>
      <w:r w:rsidRPr="00DD3F88">
        <w:rPr>
          <w:rFonts w:ascii="Aptos Serif" w:hAnsi="Aptos Serif" w:cs="Aptos Serif"/>
          <w:sz w:val="22"/>
          <w:szCs w:val="22"/>
        </w:rPr>
        <w:t>Empleo: Las condiciones precarias de trabajo y la discriminación laboral pueden afectar negativamente la salud de las mujeres</w:t>
      </w:r>
    </w:p>
    <w:p w14:paraId="467120C8" w14:textId="77777777" w:rsidR="00DD3F88" w:rsidRPr="00DD3F88" w:rsidRDefault="00DD3F88" w:rsidP="00DD3F88">
      <w:pPr>
        <w:spacing w:before="100" w:beforeAutospacing="1" w:after="100" w:afterAutospacing="1" w:line="240" w:lineRule="auto"/>
        <w:rPr>
          <w:rFonts w:ascii="Aptos Serif" w:hAnsi="Aptos Serif" w:cs="Aptos Serif"/>
          <w:sz w:val="22"/>
          <w:szCs w:val="22"/>
        </w:rPr>
      </w:pPr>
      <w:r w:rsidRPr="00DD3F88">
        <w:rPr>
          <w:rFonts w:ascii="Aptos Serif" w:hAnsi="Aptos Serif" w:cs="Aptos Serif"/>
          <w:sz w:val="22"/>
          <w:szCs w:val="22"/>
        </w:rPr>
        <w:t>Conclusiones:</w:t>
      </w:r>
    </w:p>
    <w:p w14:paraId="7D037A22" w14:textId="77777777" w:rsidR="00DD3F88" w:rsidRPr="00DD3F88" w:rsidRDefault="00DD3F88" w:rsidP="00DD3F88">
      <w:pPr>
        <w:spacing w:before="100" w:beforeAutospacing="1" w:after="100" w:afterAutospacing="1" w:line="240" w:lineRule="auto"/>
        <w:rPr>
          <w:rFonts w:ascii="Aptos Serif" w:eastAsia="Times New Roman" w:hAnsi="Aptos Serif" w:cs="Aptos Serif"/>
          <w:kern w:val="0"/>
          <w:sz w:val="22"/>
          <w:szCs w:val="22"/>
          <w:lang w:eastAsia="es-AR"/>
          <w14:ligatures w14:val="none"/>
        </w:rPr>
      </w:pPr>
      <w:r w:rsidRPr="00DD3F88">
        <w:rPr>
          <w:rFonts w:ascii="Aptos Serif" w:eastAsia="Times New Roman" w:hAnsi="Aptos Serif" w:cs="Aptos Serif"/>
          <w:kern w:val="0"/>
          <w:sz w:val="22"/>
          <w:szCs w:val="22"/>
          <w:lang w:eastAsia="es-AR"/>
          <w14:ligatures w14:val="none"/>
        </w:rPr>
        <w:t>La brecha de esperanza de vida entre géneros es un fenómeno complejo con múltiples causas interrelacionadas. Abordar esta disparidad requiere un enfoque integral que incluya medidas para:</w:t>
      </w:r>
    </w:p>
    <w:p w14:paraId="0971769F" w14:textId="77777777" w:rsidR="00DD3F88" w:rsidRPr="00DD3F88" w:rsidRDefault="00DD3F88" w:rsidP="00DD3F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 Serif" w:eastAsia="Times New Roman" w:hAnsi="Aptos Serif" w:cs="Aptos Serif"/>
          <w:kern w:val="0"/>
          <w:sz w:val="22"/>
          <w:szCs w:val="22"/>
          <w:lang w:eastAsia="es-AR"/>
          <w14:ligatures w14:val="none"/>
        </w:rPr>
      </w:pPr>
      <w:r w:rsidRPr="00DD3F88">
        <w:rPr>
          <w:rFonts w:ascii="Aptos Serif" w:eastAsia="Times New Roman" w:hAnsi="Aptos Serif" w:cs="Aptos Serif"/>
          <w:kern w:val="0"/>
          <w:sz w:val="22"/>
          <w:szCs w:val="22"/>
          <w:lang w:eastAsia="es-AR"/>
          <w14:ligatures w14:val="none"/>
        </w:rPr>
        <w:lastRenderedPageBreak/>
        <w:t>Promover comportamientos saludables en ambos géneros.</w:t>
      </w:r>
    </w:p>
    <w:p w14:paraId="60E0666F" w14:textId="77777777" w:rsidR="00DD3F88" w:rsidRPr="00DD3F88" w:rsidRDefault="00DD3F88" w:rsidP="00DD3F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 Serif" w:eastAsia="Times New Roman" w:hAnsi="Aptos Serif" w:cs="Aptos Serif"/>
          <w:kern w:val="0"/>
          <w:sz w:val="22"/>
          <w:szCs w:val="22"/>
          <w:lang w:eastAsia="es-AR"/>
          <w14:ligatures w14:val="none"/>
        </w:rPr>
      </w:pPr>
      <w:r w:rsidRPr="00DD3F88">
        <w:rPr>
          <w:rFonts w:ascii="Aptos Serif" w:eastAsia="Times New Roman" w:hAnsi="Aptos Serif" w:cs="Aptos Serif"/>
          <w:kern w:val="0"/>
          <w:sz w:val="22"/>
          <w:szCs w:val="22"/>
          <w:lang w:eastAsia="es-AR"/>
          <w14:ligatures w14:val="none"/>
        </w:rPr>
        <w:t>Garantizar el acceso universal a atención médica de calidad.</w:t>
      </w:r>
    </w:p>
    <w:p w14:paraId="1BC6A4C4" w14:textId="77777777" w:rsidR="00DD3F88" w:rsidRPr="00DD3F88" w:rsidRDefault="00DD3F88" w:rsidP="00DD3F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 Serif" w:eastAsia="Times New Roman" w:hAnsi="Aptos Serif" w:cs="Aptos Serif"/>
          <w:kern w:val="0"/>
          <w:sz w:val="22"/>
          <w:szCs w:val="22"/>
          <w:lang w:eastAsia="es-AR"/>
          <w14:ligatures w14:val="none"/>
        </w:rPr>
      </w:pPr>
      <w:r w:rsidRPr="00DD3F88">
        <w:rPr>
          <w:rFonts w:ascii="Aptos Serif" w:eastAsia="Times New Roman" w:hAnsi="Aptos Serif" w:cs="Aptos Serif"/>
          <w:kern w:val="0"/>
          <w:sz w:val="22"/>
          <w:szCs w:val="22"/>
          <w:lang w:eastAsia="es-AR"/>
          <w14:ligatures w14:val="none"/>
        </w:rPr>
        <w:t>Combatir la violencia contra las mujeres en todas sus formas.</w:t>
      </w:r>
    </w:p>
    <w:p w14:paraId="2EABB105" w14:textId="77777777" w:rsidR="00DD3F88" w:rsidRPr="00DD3F88" w:rsidRDefault="00DD3F88" w:rsidP="00DD3F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 Serif" w:eastAsia="Times New Roman" w:hAnsi="Aptos Serif" w:cs="Aptos Serif"/>
          <w:kern w:val="0"/>
          <w:sz w:val="22"/>
          <w:szCs w:val="22"/>
          <w:lang w:eastAsia="es-AR"/>
          <w14:ligatures w14:val="none"/>
        </w:rPr>
      </w:pPr>
      <w:r w:rsidRPr="00DD3F88">
        <w:rPr>
          <w:rFonts w:ascii="Aptos Serif" w:eastAsia="Times New Roman" w:hAnsi="Aptos Serif" w:cs="Aptos Serif"/>
          <w:kern w:val="0"/>
          <w:sz w:val="22"/>
          <w:szCs w:val="22"/>
          <w:lang w:eastAsia="es-AR"/>
          <w14:ligatures w14:val="none"/>
        </w:rPr>
        <w:t>Reducir las desigualdades de género en educación, empleo y oportunidades económicas.</w:t>
      </w:r>
    </w:p>
    <w:p w14:paraId="0BB2E10A" w14:textId="77777777" w:rsidR="00DD3F88" w:rsidRPr="00DD3F88" w:rsidRDefault="00DD3F88" w:rsidP="00DD3F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 Serif" w:eastAsia="Times New Roman" w:hAnsi="Aptos Serif" w:cs="Aptos Serif"/>
          <w:kern w:val="0"/>
          <w:sz w:val="22"/>
          <w:szCs w:val="22"/>
          <w:lang w:eastAsia="es-AR"/>
          <w14:ligatures w14:val="none"/>
        </w:rPr>
      </w:pPr>
      <w:r w:rsidRPr="00DD3F88">
        <w:rPr>
          <w:rFonts w:ascii="Aptos Serif" w:eastAsia="Times New Roman" w:hAnsi="Aptos Serif" w:cs="Aptos Serif"/>
          <w:kern w:val="0"/>
          <w:sz w:val="22"/>
          <w:szCs w:val="22"/>
          <w:lang w:eastAsia="es-AR"/>
          <w14:ligatures w14:val="none"/>
        </w:rPr>
        <w:t>Reconocer y valorar el trabajo de cuidado no remunerado realizado por las mujeres.</w:t>
      </w:r>
    </w:p>
    <w:p w14:paraId="686FF666" w14:textId="77777777" w:rsidR="00DD3F88" w:rsidRPr="00DD3F88" w:rsidRDefault="00DD3F88" w:rsidP="00DD3F88">
      <w:pPr>
        <w:spacing w:before="100" w:beforeAutospacing="1" w:after="100" w:afterAutospacing="1" w:line="240" w:lineRule="auto"/>
        <w:rPr>
          <w:rFonts w:ascii="Aptos Serif" w:eastAsia="Times New Roman" w:hAnsi="Aptos Serif" w:cs="Aptos Serif"/>
          <w:kern w:val="0"/>
          <w:sz w:val="22"/>
          <w:szCs w:val="22"/>
          <w:lang w:eastAsia="es-AR"/>
          <w14:ligatures w14:val="none"/>
        </w:rPr>
      </w:pPr>
      <w:r w:rsidRPr="00DD3F88">
        <w:rPr>
          <w:rFonts w:ascii="Aptos Serif" w:eastAsia="Times New Roman" w:hAnsi="Aptos Serif" w:cs="Aptos Serif"/>
          <w:b/>
          <w:bCs/>
          <w:kern w:val="0"/>
          <w:sz w:val="22"/>
          <w:szCs w:val="22"/>
          <w:lang w:eastAsia="es-AR"/>
          <w14:ligatures w14:val="none"/>
        </w:rPr>
        <w:t>Recursos adicionales:</w:t>
      </w:r>
    </w:p>
    <w:p w14:paraId="2A4CA8FB" w14:textId="77777777" w:rsidR="00DD3F88" w:rsidRPr="00DD3F88" w:rsidRDefault="00000000" w:rsidP="00DD3F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 Serif" w:eastAsia="Times New Roman" w:hAnsi="Aptos Serif" w:cs="Aptos Serif"/>
          <w:kern w:val="0"/>
          <w:sz w:val="22"/>
          <w:szCs w:val="22"/>
          <w:lang w:eastAsia="es-AR"/>
          <w14:ligatures w14:val="none"/>
        </w:rPr>
      </w:pPr>
      <w:hyperlink r:id="rId11" w:tgtFrame="_blank" w:history="1">
        <w:r w:rsidR="00DD3F88" w:rsidRPr="00DD3F88">
          <w:rPr>
            <w:rFonts w:ascii="Aptos Serif" w:eastAsia="Times New Roman" w:hAnsi="Aptos Serif" w:cs="Aptos Serif"/>
            <w:color w:val="0000FF"/>
            <w:kern w:val="0"/>
            <w:sz w:val="22"/>
            <w:szCs w:val="22"/>
            <w:u w:val="single"/>
            <w:lang w:eastAsia="es-AR"/>
            <w14:ligatures w14:val="none"/>
          </w:rPr>
          <w:t>https://www.bbc.com/mundo/noticias-47117444</w:t>
        </w:r>
      </w:hyperlink>
    </w:p>
    <w:p w14:paraId="59FB7DAC" w14:textId="77777777" w:rsidR="00DD3F88" w:rsidRPr="00DD3F88" w:rsidRDefault="00000000" w:rsidP="00DD3F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 Serif" w:eastAsia="Times New Roman" w:hAnsi="Aptos Serif" w:cs="Aptos Serif"/>
          <w:kern w:val="0"/>
          <w:sz w:val="22"/>
          <w:szCs w:val="22"/>
          <w:lang w:eastAsia="es-AR"/>
          <w14:ligatures w14:val="none"/>
        </w:rPr>
      </w:pPr>
      <w:hyperlink r:id="rId12" w:tgtFrame="_blank" w:history="1">
        <w:r w:rsidR="00DD3F88" w:rsidRPr="00DD3F88">
          <w:rPr>
            <w:rFonts w:ascii="Aptos Serif" w:eastAsia="Times New Roman" w:hAnsi="Aptos Serif" w:cs="Aptos Serif"/>
            <w:color w:val="0000FF"/>
            <w:kern w:val="0"/>
            <w:sz w:val="22"/>
            <w:szCs w:val="22"/>
            <w:u w:val="single"/>
            <w:lang w:eastAsia="es-AR"/>
            <w14:ligatures w14:val="none"/>
          </w:rPr>
          <w:t>https://datos.bancomundial.org/indicator/SP.DYN.LE00.IN</w:t>
        </w:r>
      </w:hyperlink>
    </w:p>
    <w:p w14:paraId="20111D2F" w14:textId="77777777" w:rsidR="00DD3F88" w:rsidRPr="00DD3F88" w:rsidRDefault="00000000" w:rsidP="00DD3F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 Serif" w:eastAsia="Times New Roman" w:hAnsi="Aptos Serif" w:cs="Aptos Serif"/>
          <w:kern w:val="0"/>
          <w:sz w:val="22"/>
          <w:szCs w:val="22"/>
          <w:lang w:eastAsia="es-AR"/>
          <w14:ligatures w14:val="none"/>
        </w:rPr>
      </w:pPr>
      <w:hyperlink r:id="rId13" w:tgtFrame="_blank" w:history="1">
        <w:r w:rsidR="00DD3F88" w:rsidRPr="00DD3F88">
          <w:rPr>
            <w:rFonts w:ascii="Aptos Serif" w:eastAsia="Times New Roman" w:hAnsi="Aptos Serif" w:cs="Aptos Serif"/>
            <w:color w:val="0000FF"/>
            <w:kern w:val="0"/>
            <w:sz w:val="22"/>
            <w:szCs w:val="22"/>
            <w:u w:val="single"/>
            <w:lang w:eastAsia="es-AR"/>
            <w14:ligatures w14:val="none"/>
          </w:rPr>
          <w:t>https://www.eldiario.es/madrid/somos/malasana/la-esperanza-de-vida-va-por-barrrios-y-en-malasana-mueres-a-los-81-2-anos_1_6434328.html</w:t>
        </w:r>
      </w:hyperlink>
    </w:p>
    <w:p w14:paraId="4B99448D" w14:textId="77777777" w:rsidR="00DD3F88" w:rsidRPr="00DD3F88" w:rsidRDefault="00DD3F88" w:rsidP="00DD3F88">
      <w:pPr>
        <w:spacing w:before="100" w:beforeAutospacing="1" w:after="100" w:afterAutospacing="1" w:line="240" w:lineRule="auto"/>
        <w:rPr>
          <w:rFonts w:ascii="Aptos Serif" w:hAnsi="Aptos Serif" w:cs="Aptos Serif"/>
          <w:sz w:val="22"/>
          <w:szCs w:val="22"/>
          <w:lang w:eastAsia="es-AR"/>
        </w:rPr>
      </w:pPr>
    </w:p>
    <w:p w14:paraId="51E7C311" w14:textId="77777777" w:rsidR="00602AD7" w:rsidRPr="00007976" w:rsidRDefault="00602AD7" w:rsidP="00007976">
      <w:pPr>
        <w:rPr>
          <w:rFonts w:ascii="Aptos Serif" w:hAnsi="Aptos Serif" w:cs="Aptos Serif"/>
          <w:sz w:val="22"/>
          <w:szCs w:val="22"/>
          <w:lang w:val="es-MX"/>
        </w:rPr>
      </w:pPr>
    </w:p>
    <w:sectPr w:rsidR="00602AD7" w:rsidRPr="00007976" w:rsidSect="0045112E">
      <w:pgSz w:w="16838" w:h="11906" w:orient="landscape" w:code="9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426648" w14:textId="77777777" w:rsidR="0045112E" w:rsidRDefault="0045112E" w:rsidP="005659D5">
      <w:pPr>
        <w:spacing w:after="0" w:line="240" w:lineRule="auto"/>
      </w:pPr>
      <w:r>
        <w:separator/>
      </w:r>
    </w:p>
  </w:endnote>
  <w:endnote w:type="continuationSeparator" w:id="0">
    <w:p w14:paraId="39E6EFC0" w14:textId="77777777" w:rsidR="0045112E" w:rsidRDefault="0045112E" w:rsidP="00565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Serif">
    <w:charset w:val="00"/>
    <w:family w:val="roman"/>
    <w:pitch w:val="variable"/>
    <w:sig w:usb0="A11526FF" w:usb1="C000ECFB" w:usb2="0001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5EE0E8" w14:textId="77777777" w:rsidR="0045112E" w:rsidRDefault="0045112E" w:rsidP="005659D5">
      <w:pPr>
        <w:spacing w:after="0" w:line="240" w:lineRule="auto"/>
      </w:pPr>
      <w:r>
        <w:separator/>
      </w:r>
    </w:p>
  </w:footnote>
  <w:footnote w:type="continuationSeparator" w:id="0">
    <w:p w14:paraId="769329BC" w14:textId="77777777" w:rsidR="0045112E" w:rsidRDefault="0045112E" w:rsidP="005659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640A5"/>
    <w:multiLevelType w:val="multilevel"/>
    <w:tmpl w:val="867CA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4A4899"/>
    <w:multiLevelType w:val="multilevel"/>
    <w:tmpl w:val="C2C47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704A4F"/>
    <w:multiLevelType w:val="multilevel"/>
    <w:tmpl w:val="F4C01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DB711F"/>
    <w:multiLevelType w:val="multilevel"/>
    <w:tmpl w:val="1706B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17234">
    <w:abstractNumId w:val="3"/>
  </w:num>
  <w:num w:numId="2" w16cid:durableId="1979190811">
    <w:abstractNumId w:val="0"/>
  </w:num>
  <w:num w:numId="3" w16cid:durableId="1776056489">
    <w:abstractNumId w:val="1"/>
  </w:num>
  <w:num w:numId="4" w16cid:durableId="17653004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544"/>
    <w:rsid w:val="00007976"/>
    <w:rsid w:val="00155DD4"/>
    <w:rsid w:val="00224544"/>
    <w:rsid w:val="0045112E"/>
    <w:rsid w:val="005659D5"/>
    <w:rsid w:val="00602AD7"/>
    <w:rsid w:val="00922097"/>
    <w:rsid w:val="00DD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0B0E2"/>
  <w15:chartTrackingRefBased/>
  <w15:docId w15:val="{85020612-3729-41EF-AC90-01D67C059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1075A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1075A6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DD3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DD3F88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DD3F88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659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59D5"/>
  </w:style>
  <w:style w:type="paragraph" w:styleId="Piedepgina">
    <w:name w:val="footer"/>
    <w:basedOn w:val="Normal"/>
    <w:link w:val="PiedepginaCar"/>
    <w:uiPriority w:val="99"/>
    <w:unhideWhenUsed/>
    <w:rsid w:val="005659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5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6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eldiario.es/madrid/somos/malasana/la-esperanza-de-vida-va-por-barrrios-y-en-malasana-mueres-a-los-81-2-anos_1_6434328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atos.bancomundial.org/indicator/SP.DYN.LE00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bc.com/mundo/noticias-47117444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485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Isaias Carrion</dc:creator>
  <cp:keywords/>
  <dc:description/>
  <cp:lastModifiedBy>Isaias Carrion</cp:lastModifiedBy>
  <cp:revision>4</cp:revision>
  <dcterms:created xsi:type="dcterms:W3CDTF">2024-05-04T16:32:00Z</dcterms:created>
  <dcterms:modified xsi:type="dcterms:W3CDTF">2024-05-04T16:42:00Z</dcterms:modified>
</cp:coreProperties>
</file>