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</w:pPr>
    </w:p>
    <w:p>
      <w:pPr>
        <w:keepNext/>
      </w:pPr>
    </w:p>
    <w:p>
      <w:pPr>
        <w:pStyle w:val="Eyebrow"/>
      </w:pPr>
      <w:r>
        <w:t>MARKETING COPILOT</w:t>
      </w:r>
    </w:p>
    <w:p>
      <w:pPr>
        <w:pStyle w:val="Title"/>
      </w:pPr>
      <w:r>
        <w:t>AI Strategy Engine</w:t>
        <w:br/>
        <w:t>Specification</w:t>
      </w:r>
    </w:p>
    <w:p>
      <w:pPr>
        <w:pStyle w:val="Subtitle"/>
      </w:pPr>
      <w:r>
        <w:t>v1.0  •  Beslutsmodell för en AI-driven marknadschef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878"/>
            <w:shd w:fill="0F6B5B"/>
            <w:tcMar>
              <w:top w:w="260" w:type="dxa"/>
              <w:start w:w="300" w:type="dxa"/>
              <w:bottom w:w="260" w:type="dxa"/>
              <w:end w:w="300" w:type="dxa"/>
            </w:tcMar>
          </w:tcPr>
          <w:p>
            <w:pPr>
              <w:jc w:val="left"/>
            </w:pPr>
            <w:r>
              <w:rPr>
                <w:b/>
                <w:color w:val="CBE5DE"/>
                <w:sz w:val="18"/>
              </w:rPr>
              <w:t>SYFTE</w:t>
            </w:r>
          </w:p>
          <w:p>
            <w:pPr>
              <w:spacing w:before="120" w:after="0"/>
            </w:pPr>
            <w:r>
              <w:rPr>
                <w:b/>
                <w:color w:val="FFFFFF"/>
                <w:sz w:val="32"/>
              </w:rPr>
              <w:t>Definiera hur Marketing Copilot analyserar, prioriterar, rekommenderar, förklarar och lär sig - utan att förväxla antaganden med fakta.</w:t>
            </w:r>
          </w:p>
        </w:tc>
      </w:tr>
    </w:tbl>
    <w:p>
      <w:pPr>
        <w:pStyle w:val="Heading2"/>
        <w:keepNext/>
        <w:keepLines/>
      </w:pPr>
      <w:r>
        <w:t>Dokumentstatus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9DCD6"/>
          <w:left w:val="single" w:sz="5" w:color="C9DCD6"/>
          <w:bottom w:val="single" w:sz="5" w:color="C9DCD6"/>
          <w:right w:val="single" w:sz="5" w:color="C9DCD6"/>
          <w:insideH w:val="single" w:sz="5" w:color="C9DCD6"/>
          <w:insideV w:val="single" w:sz="5" w:color="C9DCD6"/>
        </w:tblBorders>
      </w:tblPr>
      <w:tblGrid>
        <w:gridCol w:w="2376"/>
        <w:gridCol w:w="7272"/>
      </w:tblGrid>
      <w:tr>
        <w:trPr>
          <w:tblHeader w:val="true"/>
        </w:trPr>
        <w:tc>
          <w:tcPr>
            <w:tcW w:type="dxa" w:w="4939"/>
            <w:shd w:fill="0F6B5B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pStyle w:val="TableHeader"/>
            </w:pPr>
            <w:r>
              <w:t>Fält</w:t>
            </w:r>
          </w:p>
        </w:tc>
        <w:tc>
          <w:tcPr>
            <w:tcW w:type="dxa" w:w="4939"/>
            <w:shd w:fill="0F6B5B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pStyle w:val="TableHeader"/>
            </w:pPr>
            <w:r>
              <w:t>Värde</w:t>
            </w:r>
          </w:p>
        </w:tc>
      </w:tr>
      <w:tr>
        <w:trPr>
          <w:cantSplit/>
        </w:trPr>
        <w:tc>
          <w:tcPr>
            <w:tcW w:type="dxa" w:w="2376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Dokumenttyp</w:t>
            </w:r>
          </w:p>
        </w:tc>
        <w:tc>
          <w:tcPr>
            <w:tcW w:type="dxa" w:w="7272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Styrande produkt- och beslutslogik</w:t>
            </w:r>
          </w:p>
        </w:tc>
      </w:tr>
      <w:tr>
        <w:trPr>
          <w:cantSplit/>
        </w:trPr>
        <w:tc>
          <w:tcPr>
            <w:tcW w:type="dxa" w:w="2376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Version</w:t>
            </w:r>
          </w:p>
        </w:tc>
        <w:tc>
          <w:tcPr>
            <w:tcW w:type="dxa" w:w="7272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1.0</w:t>
            </w:r>
          </w:p>
        </w:tc>
      </w:tr>
      <w:tr>
        <w:trPr>
          <w:cantSplit/>
        </w:trPr>
        <w:tc>
          <w:tcPr>
            <w:tcW w:type="dxa" w:w="2376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Status</w:t>
            </w:r>
          </w:p>
        </w:tc>
        <w:tc>
          <w:tcPr>
            <w:tcW w:type="dxa" w:w="7272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För godkännande</w:t>
            </w:r>
          </w:p>
        </w:tc>
      </w:tr>
      <w:tr>
        <w:trPr>
          <w:cantSplit/>
        </w:trPr>
        <w:tc>
          <w:tcPr>
            <w:tcW w:type="dxa" w:w="2376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Ägare</w:t>
            </w:r>
          </w:p>
        </w:tc>
        <w:tc>
          <w:tcPr>
            <w:tcW w:type="dxa" w:w="7272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Product / AI Strategy</w:t>
            </w:r>
          </w:p>
        </w:tc>
      </w:tr>
      <w:tr>
        <w:trPr>
          <w:cantSplit/>
        </w:trPr>
        <w:tc>
          <w:tcPr>
            <w:tcW w:type="dxa" w:w="2376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Primär beroendekälla</w:t>
            </w:r>
          </w:p>
        </w:tc>
        <w:tc>
          <w:tcPr>
            <w:tcW w:type="dxa" w:w="7272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Company Brain</w:t>
            </w:r>
          </w:p>
        </w:tc>
      </w:tr>
      <w:tr>
        <w:trPr>
          <w:cantSplit/>
        </w:trPr>
        <w:tc>
          <w:tcPr>
            <w:tcW w:type="dxa" w:w="2376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Tillämpas av</w:t>
            </w:r>
          </w:p>
        </w:tc>
        <w:tc>
          <w:tcPr>
            <w:tcW w:type="dxa" w:w="7272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Översikt, Strategi, Innehåll och Insikter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878"/>
            <w:shd w:fill="EAF4F1"/>
            <w:tcMar>
              <w:top w:w="180" w:type="dxa"/>
              <w:start w:w="210" w:type="dxa"/>
              <w:bottom w:w="180" w:type="dxa"/>
              <w:end w:w="210" w:type="dxa"/>
            </w:tcMar>
          </w:tcPr>
          <w:p>
            <w:pPr>
              <w:pStyle w:val="Heading3"/>
              <w:spacing w:before="0" w:after="80"/>
            </w:pPr>
            <w:r>
              <w:t>North Star</w:t>
            </w:r>
          </w:p>
          <w:p>
            <w:pPr>
              <w:pStyle w:val="TableText"/>
            </w:pPr>
            <w:r>
              <w:t>Marketing Copilot ska inte skapa mer marknadsarbete. Den ska hjälpa företaget att välja rätt arbete, i rätt ordning, av rätt skäl.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  <w:keepLines/>
      </w:pPr>
      <w:r>
        <w:t>Innehåll</w:t>
      </w:r>
    </w:p>
    <w:p>
      <w:pPr>
        <w:spacing w:after="100"/>
      </w:pPr>
      <w:r>
        <w:t>1. Executive Summary</w:t>
      </w:r>
    </w:p>
    <w:p>
      <w:pPr>
        <w:spacing w:after="100"/>
      </w:pPr>
      <w:r>
        <w:t>2. Systemets uppdrag och gränser</w:t>
      </w:r>
    </w:p>
    <w:p>
      <w:pPr>
        <w:spacing w:after="100"/>
      </w:pPr>
      <w:r>
        <w:t>3. Grundprinciper</w:t>
      </w:r>
    </w:p>
    <w:p>
      <w:pPr>
        <w:spacing w:after="100"/>
      </w:pPr>
      <w:r>
        <w:t>4. Beslutsarkitektur</w:t>
      </w:r>
    </w:p>
    <w:p>
      <w:pPr>
        <w:spacing w:after="100"/>
      </w:pPr>
      <w:r>
        <w:t>5. Input- och signalkatalog</w:t>
      </w:r>
    </w:p>
    <w:p>
      <w:pPr>
        <w:spacing w:after="100"/>
      </w:pPr>
      <w:r>
        <w:t>6. Knowledge Trust Model</w:t>
      </w:r>
    </w:p>
    <w:p>
      <w:pPr>
        <w:spacing w:after="100"/>
      </w:pPr>
      <w:r>
        <w:t>7. Opportunity &amp; Risk Detection</w:t>
      </w:r>
    </w:p>
    <w:p>
      <w:pPr>
        <w:spacing w:after="100"/>
      </w:pPr>
      <w:r>
        <w:t>8. Business Priority Framework</w:t>
      </w:r>
    </w:p>
    <w:p>
      <w:pPr>
        <w:spacing w:after="100"/>
      </w:pPr>
      <w:r>
        <w:t>9. Recommendation Contract</w:t>
      </w:r>
    </w:p>
    <w:p>
      <w:pPr>
        <w:spacing w:after="100"/>
      </w:pPr>
      <w:r>
        <w:t>10. Confidence &amp; Explainability</w:t>
      </w:r>
    </w:p>
    <w:p>
      <w:pPr>
        <w:spacing w:after="100"/>
      </w:pPr>
      <w:r>
        <w:t>11. Beslutslägen och mänsklig kontroll</w:t>
      </w:r>
    </w:p>
    <w:p>
      <w:pPr>
        <w:spacing w:after="100"/>
      </w:pPr>
      <w:r>
        <w:t>12. Decision Memory</w:t>
      </w:r>
    </w:p>
    <w:p>
      <w:pPr>
        <w:spacing w:after="100"/>
      </w:pPr>
      <w:r>
        <w:t>13. Learning Loop</w:t>
      </w:r>
    </w:p>
    <w:p>
      <w:pPr>
        <w:spacing w:after="100"/>
      </w:pPr>
      <w:r>
        <w:t>14. Säkerhet och etiska skyddsräcken</w:t>
      </w:r>
    </w:p>
    <w:p>
      <w:pPr>
        <w:spacing w:after="100"/>
      </w:pPr>
      <w:r>
        <w:t>15. Scenarioexempel</w:t>
      </w:r>
    </w:p>
    <w:p>
      <w:pPr>
        <w:spacing w:after="100"/>
      </w:pPr>
      <w:r>
        <w:t>16. Mätning och kvalitet</w:t>
      </w:r>
    </w:p>
    <w:p>
      <w:pPr>
        <w:spacing w:after="100"/>
      </w:pPr>
      <w:r>
        <w:t>17. Implementation Contract</w:t>
      </w:r>
    </w:p>
    <w:p>
      <w:pPr>
        <w:spacing w:after="100"/>
      </w:pPr>
      <w:r>
        <w:t>18. Governance och versionshantering</w:t>
      </w:r>
    </w:p>
    <w:p>
      <w:pPr>
        <w:spacing w:after="100"/>
      </w:pPr>
      <w:r>
        <w:t>19. Definition of Done</w:t>
      </w:r>
    </w:p>
    <w:p>
      <w:pPr>
        <w:spacing w:after="100"/>
      </w:pPr>
      <w:r>
        <w:t>20. Beslut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878"/>
            <w:shd w:fill="EDF5F9"/>
            <w:tcMar>
              <w:top w:w="180" w:type="dxa"/>
              <w:start w:w="210" w:type="dxa"/>
              <w:bottom w:w="180" w:type="dxa"/>
              <w:end w:w="210" w:type="dxa"/>
            </w:tcMar>
          </w:tcPr>
          <w:p>
            <w:pPr>
              <w:pStyle w:val="Heading3"/>
              <w:spacing w:before="0" w:after="80"/>
            </w:pPr>
            <w:r>
              <w:t>Läsanvisning</w:t>
            </w:r>
          </w:p>
          <w:p>
            <w:pPr>
              <w:pStyle w:val="TableText"/>
            </w:pPr>
            <w:r>
              <w:t>Det här dokumentet specificerar produktlogik och beteendekontrakt. Det är inte en promptsamling och inte en detaljerad teknisk implementation.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  <w:keepLines/>
      </w:pPr>
      <w:r>
        <w:t>1. Executive Summary</w:t>
      </w:r>
    </w:p>
    <w:p>
      <w:pPr>
        <w:pStyle w:val="Lead"/>
      </w:pPr>
      <w:r>
        <w:t>AI Strategy Engine är den centrala beslutsmotorn i Marketing Copilot. Den omvandlar Company Brain, mål, historik, resultat och tidsbundna signaler till ett begränsat antal motiverade rekommendationer.</w:t>
      </w:r>
    </w:p>
    <w:p>
      <w:r>
        <w:t>Motorn ska efterlikna arbetssättet hos en senior marknadschef: förstå affären, upptäcka möjligheter, identifiera risker, prioritera hårt och förklara varför en aktivitet är mer värdefull än en annan.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878"/>
            <w:shd w:fill="EAF4F1"/>
            <w:tcMar>
              <w:top w:w="180" w:type="dxa"/>
              <w:start w:w="210" w:type="dxa"/>
              <w:bottom w:w="180" w:type="dxa"/>
              <w:end w:w="210" w:type="dxa"/>
            </w:tcMar>
          </w:tcPr>
          <w:p>
            <w:pPr>
              <w:pStyle w:val="Heading3"/>
              <w:spacing w:before="0" w:after="80"/>
            </w:pPr>
            <w:r>
              <w:t>Kärnkontrakt</w:t>
            </w:r>
          </w:p>
          <w:p>
            <w:pPr>
              <w:pStyle w:val="TableText"/>
            </w:pPr>
            <w:r>
              <w:t>Varje rekommendation ska vara spårbar till källor, skilja fakta från antaganden, uttrycka osäkerhet och föreslå en tydlig nästa handling.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t>Affärseffekt</w:t>
      </w:r>
    </w:p>
    <w:p>
      <w:pPr>
        <w:pStyle w:val="ListBullet"/>
        <w:spacing w:after="60"/>
        <w:ind w:left="346" w:hanging="202"/>
      </w:pPr>
      <w:r>
        <w:t>Mindre tid går åt till att avgöra vad företaget ska göra.</w:t>
      </w:r>
    </w:p>
    <w:p>
      <w:pPr>
        <w:pStyle w:val="ListBullet"/>
        <w:spacing w:after="60"/>
        <w:ind w:left="346" w:hanging="202"/>
      </w:pPr>
      <w:r>
        <w:t>Färre aktiviteter genomförs utan tydligt affärssyfte.</w:t>
      </w:r>
    </w:p>
    <w:p>
      <w:pPr>
        <w:pStyle w:val="ListBullet"/>
        <w:spacing w:after="60"/>
        <w:ind w:left="346" w:hanging="202"/>
      </w:pPr>
      <w:r>
        <w:t>Innehållsproduktion kopplas till strategi och prioritet.</w:t>
      </w:r>
    </w:p>
    <w:p>
      <w:pPr>
        <w:pStyle w:val="ListBullet"/>
        <w:spacing w:after="60"/>
        <w:ind w:left="346" w:hanging="202"/>
      </w:pPr>
      <w:r>
        <w:t>Användaren kan förstå, ifrågasätta och förbättra AI:ns beslut.</w:t>
      </w:r>
    </w:p>
    <w:p>
      <w:pPr>
        <w:pStyle w:val="ListBullet"/>
        <w:spacing w:after="60"/>
        <w:ind w:left="346" w:hanging="202"/>
      </w:pPr>
      <w:r>
        <w:t>Beslutsmotorn blir bättre över tid utan att skriva över verifierad företagskunskap.</w:t>
      </w:r>
    </w:p>
    <w:p>
      <w:pPr>
        <w:pStyle w:val="Heading2"/>
        <w:keepNext/>
        <w:keepLines/>
      </w:pPr>
      <w:r>
        <w:t>Produktmässig avgränsning</w:t>
      </w:r>
    </w:p>
    <w:p>
      <w:r>
        <w:t>AI Strategy Engine fattar inte oåterkalleliga beslut och publicerar inte marknadsföring på egen hand. Den rekommenderar, förklarar, förbereder och lär sig inom uttryckliga behörigheter.</w:t>
      </w:r>
    </w:p>
    <w:p>
      <w:r>
        <w:br w:type="page"/>
      </w:r>
    </w:p>
    <w:p>
      <w:pPr>
        <w:pStyle w:val="Heading1"/>
        <w:keepNext/>
        <w:keepLines/>
      </w:pPr>
      <w:r>
        <w:t>2. Systemets uppdrag och gränser</w:t>
      </w:r>
    </w:p>
    <w:p>
      <w:pPr>
        <w:pStyle w:val="Heading2"/>
        <w:keepNext/>
        <w:keepLines/>
      </w:pPr>
      <w:r>
        <w:t>2.1 Ansvar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9DCD6"/>
          <w:left w:val="single" w:sz="5" w:color="C9DCD6"/>
          <w:bottom w:val="single" w:sz="5" w:color="C9DCD6"/>
          <w:right w:val="single" w:sz="5" w:color="C9DCD6"/>
          <w:insideH w:val="single" w:sz="5" w:color="C9DCD6"/>
          <w:insideV w:val="single" w:sz="5" w:color="C9DCD6"/>
        </w:tblBorders>
      </w:tblPr>
      <w:tblGrid>
        <w:gridCol w:w="3096"/>
        <w:gridCol w:w="6552"/>
      </w:tblGrid>
      <w:tr>
        <w:trPr>
          <w:tblHeader w:val="true"/>
        </w:trPr>
        <w:tc>
          <w:tcPr>
            <w:tcW w:type="dxa" w:w="4939"/>
            <w:shd w:fill="0F6B5B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pStyle w:val="TableHeader"/>
            </w:pPr>
            <w:r>
              <w:t>Motorn ansvarar för</w:t>
            </w:r>
          </w:p>
        </w:tc>
        <w:tc>
          <w:tcPr>
            <w:tcW w:type="dxa" w:w="4939"/>
            <w:shd w:fill="0F6B5B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pStyle w:val="TableHeader"/>
            </w:pPr>
            <w:r>
              <w:t>Resultat</w:t>
            </w:r>
          </w:p>
        </w:tc>
      </w:tr>
      <w:tr>
        <w:trPr>
          <w:cantSplit/>
        </w:trPr>
        <w:tc>
          <w:tcPr>
            <w:tcW w:type="dxa" w:w="3096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Diagnostisera nuläge</w:t>
            </w:r>
          </w:p>
        </w:tc>
        <w:tc>
          <w:tcPr>
            <w:tcW w:type="dxa" w:w="6552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Identifierade möjligheter, risker och kunskapsluckor</w:t>
            </w:r>
          </w:p>
        </w:tc>
      </w:tr>
      <w:tr>
        <w:trPr>
          <w:cantSplit/>
        </w:trPr>
        <w:tc>
          <w:tcPr>
            <w:tcW w:type="dxa" w:w="3096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Prioritera</w:t>
            </w:r>
          </w:p>
        </w:tc>
        <w:tc>
          <w:tcPr>
            <w:tcW w:type="dxa" w:w="6552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Rangordnad, begränsad lista över rekommendationer</w:t>
            </w:r>
          </w:p>
        </w:tc>
      </w:tr>
      <w:tr>
        <w:trPr>
          <w:cantSplit/>
        </w:trPr>
        <w:tc>
          <w:tcPr>
            <w:tcW w:type="dxa" w:w="3096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Motivera</w:t>
            </w:r>
          </w:p>
        </w:tc>
        <w:tc>
          <w:tcPr>
            <w:tcW w:type="dxa" w:w="6552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Förklaring baserad på källor, mål och antaganden</w:t>
            </w:r>
          </w:p>
        </w:tc>
      </w:tr>
      <w:tr>
        <w:trPr>
          <w:cantSplit/>
        </w:trPr>
        <w:tc>
          <w:tcPr>
            <w:tcW w:type="dxa" w:w="3096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Planera</w:t>
            </w:r>
          </w:p>
        </w:tc>
        <w:tc>
          <w:tcPr>
            <w:tcW w:type="dxa" w:w="6552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Förslag på nästa steg, kanal, timing och beroenden</w:t>
            </w:r>
          </w:p>
        </w:tc>
      </w:tr>
      <w:tr>
        <w:trPr>
          <w:cantSplit/>
        </w:trPr>
        <w:tc>
          <w:tcPr>
            <w:tcW w:type="dxa" w:w="3096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Lära</w:t>
            </w:r>
          </w:p>
        </w:tc>
        <w:tc>
          <w:tcPr>
            <w:tcW w:type="dxa" w:w="6552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Förbättrad relevans genom utfall och användarfeedback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t>2.2 Motorn ansvarar inte för</w:t>
      </w:r>
    </w:p>
    <w:p>
      <w:pPr>
        <w:pStyle w:val="ListBullet"/>
        <w:spacing w:after="60"/>
        <w:ind w:left="346" w:hanging="202"/>
      </w:pPr>
      <w:r>
        <w:t>Att ersätta Company Brain som primär sanningskälla.</w:t>
      </w:r>
    </w:p>
    <w:p>
      <w:pPr>
        <w:pStyle w:val="ListBullet"/>
        <w:spacing w:after="60"/>
        <w:ind w:left="346" w:hanging="202"/>
      </w:pPr>
      <w:r>
        <w:t>Att garantera intäkt, räckvidd eller kampanjresultat.</w:t>
      </w:r>
    </w:p>
    <w:p>
      <w:pPr>
        <w:pStyle w:val="ListBullet"/>
        <w:spacing w:after="60"/>
        <w:ind w:left="346" w:hanging="202"/>
      </w:pPr>
      <w:r>
        <w:t>Att publicera, köpa media eller kontakta kunder utan rätt behörighet.</w:t>
      </w:r>
    </w:p>
    <w:p>
      <w:pPr>
        <w:pStyle w:val="ListBullet"/>
        <w:spacing w:after="60"/>
        <w:ind w:left="346" w:hanging="202"/>
      </w:pPr>
      <w:r>
        <w:t>Att skapa strategier utifrån påhittade marknadsdata.</w:t>
      </w:r>
    </w:p>
    <w:p>
      <w:pPr>
        <w:pStyle w:val="ListBullet"/>
        <w:spacing w:after="60"/>
        <w:ind w:left="346" w:hanging="202"/>
      </w:pPr>
      <w:r>
        <w:t>Att maximera antal aktiviteter, notiser eller genererat innehåll.</w:t>
      </w:r>
    </w:p>
    <w:p>
      <w:pPr>
        <w:pStyle w:val="ListBullet"/>
        <w:spacing w:after="60"/>
        <w:ind w:left="346" w:hanging="202"/>
      </w:pPr>
      <w:r>
        <w:t>Att dölja att underlaget är svagt eller motsägelsefullt.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878"/>
            <w:shd w:fill="FFF4DF"/>
            <w:tcMar>
              <w:top w:w="180" w:type="dxa"/>
              <w:start w:w="210" w:type="dxa"/>
              <w:bottom w:w="180" w:type="dxa"/>
              <w:end w:w="210" w:type="dxa"/>
            </w:tcMar>
          </w:tcPr>
          <w:p>
            <w:pPr>
              <w:pStyle w:val="Heading3"/>
              <w:spacing w:before="0" w:after="80"/>
            </w:pPr>
            <w:r>
              <w:t>Produktfrågan</w:t>
            </w:r>
          </w:p>
          <w:p>
            <w:pPr>
              <w:pStyle w:val="TableText"/>
            </w:pPr>
            <w:r>
              <w:t>Gör rekommendationen produkten bättre för kunden - eller gör den bara produkten större? Endast den första kategorin ska prioriteras.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  <w:keepLines/>
      </w:pPr>
      <w:r>
        <w:t>3. Grundprinciper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9DCD6"/>
          <w:left w:val="single" w:sz="5" w:color="C9DCD6"/>
          <w:bottom w:val="single" w:sz="5" w:color="C9DCD6"/>
          <w:right w:val="single" w:sz="5" w:color="C9DCD6"/>
          <w:insideH w:val="single" w:sz="5" w:color="C9DCD6"/>
          <w:insideV w:val="single" w:sz="5" w:color="C9DCD6"/>
        </w:tblBorders>
      </w:tblPr>
      <w:tblGrid>
        <w:gridCol w:w="2520"/>
        <w:gridCol w:w="7128"/>
      </w:tblGrid>
      <w:tr>
        <w:trPr>
          <w:tblHeader w:val="true"/>
        </w:trPr>
        <w:tc>
          <w:tcPr>
            <w:tcW w:type="dxa" w:w="4939"/>
            <w:shd w:fill="0F6B5B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pStyle w:val="TableHeader"/>
            </w:pPr>
            <w:r>
              <w:t>Princip</w:t>
            </w:r>
          </w:p>
        </w:tc>
        <w:tc>
          <w:tcPr>
            <w:tcW w:type="dxa" w:w="4939"/>
            <w:shd w:fill="0F6B5B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pStyle w:val="TableHeader"/>
            </w:pPr>
            <w:r>
              <w:t>Praktisk innebörd</w:t>
            </w:r>
          </w:p>
        </w:tc>
      </w:tr>
      <w:tr>
        <w:trPr>
          <w:cantSplit/>
        </w:trPr>
        <w:tc>
          <w:tcPr>
            <w:tcW w:type="dxa" w:w="2520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Affärsvärde före aktivitet</w:t>
            </w:r>
          </w:p>
        </w:tc>
        <w:tc>
          <w:tcPr>
            <w:tcW w:type="dxa" w:w="7128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En rekommendation behöver ett tydligt affärsmål. Aktivitet i sig är aldrig ett mål.</w:t>
            </w:r>
          </w:p>
        </w:tc>
      </w:tr>
      <w:tr>
        <w:trPr>
          <w:cantSplit/>
        </w:trPr>
        <w:tc>
          <w:tcPr>
            <w:tcW w:type="dxa" w:w="2520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Färre, bättre val</w:t>
            </w:r>
          </w:p>
        </w:tc>
        <w:tc>
          <w:tcPr>
            <w:tcW w:type="dxa" w:w="7128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Standardläget ska visa högst tre prioriterade initiativ, inte en backlog av idéer.</w:t>
            </w:r>
          </w:p>
        </w:tc>
      </w:tr>
      <w:tr>
        <w:trPr>
          <w:cantSplit/>
        </w:trPr>
        <w:tc>
          <w:tcPr>
            <w:tcW w:type="dxa" w:w="2520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Strategi före produktion</w:t>
            </w:r>
          </w:p>
        </w:tc>
        <w:tc>
          <w:tcPr>
            <w:tcW w:type="dxa" w:w="7128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Innehåll skapas först när mål, målgrupp, erbjudande och prioritet är tillräckligt tydliga.</w:t>
            </w:r>
          </w:p>
        </w:tc>
      </w:tr>
      <w:tr>
        <w:trPr>
          <w:cantSplit/>
        </w:trPr>
        <w:tc>
          <w:tcPr>
            <w:tcW w:type="dxa" w:w="2520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Company Brain först</w:t>
            </w:r>
          </w:p>
        </w:tc>
        <w:tc>
          <w:tcPr>
            <w:tcW w:type="dxa" w:w="7128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Verifierad företagskunskap väger tyngre än generella modeller och AI-antaganden.</w:t>
            </w:r>
          </w:p>
        </w:tc>
      </w:tr>
      <w:tr>
        <w:trPr>
          <w:cantSplit/>
        </w:trPr>
        <w:tc>
          <w:tcPr>
            <w:tcW w:type="dxa" w:w="2520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Rekommendation, inte lydnad</w:t>
            </w:r>
          </w:p>
        </w:tc>
        <w:tc>
          <w:tcPr>
            <w:tcW w:type="dxa" w:w="7128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AI får utmana användarens ursprungliga idé och föreslå att inte agera.</w:t>
            </w:r>
          </w:p>
        </w:tc>
      </w:tr>
      <w:tr>
        <w:trPr>
          <w:cantSplit/>
        </w:trPr>
        <w:tc>
          <w:tcPr>
            <w:tcW w:type="dxa" w:w="2520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Transparens som standard</w:t>
            </w:r>
          </w:p>
        </w:tc>
        <w:tc>
          <w:tcPr>
            <w:tcW w:type="dxa" w:w="7128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Källor, antaganden, osäkerhet och förväntad effekt ska kunna granskas.</w:t>
            </w:r>
          </w:p>
        </w:tc>
      </w:tr>
      <w:tr>
        <w:trPr>
          <w:cantSplit/>
        </w:trPr>
        <w:tc>
          <w:tcPr>
            <w:tcW w:type="dxa" w:w="2520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Mänsklig kontroll</w:t>
            </w:r>
          </w:p>
        </w:tc>
        <w:tc>
          <w:tcPr>
            <w:tcW w:type="dxa" w:w="7128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Betydande handlingar kräver uttryckligt godkännande enligt behörighetsmodell.</w:t>
            </w:r>
          </w:p>
        </w:tc>
      </w:tr>
      <w:tr>
        <w:trPr>
          <w:cantSplit/>
        </w:trPr>
        <w:tc>
          <w:tcPr>
            <w:tcW w:type="dxa" w:w="2520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Lärande utan omskrivning</w:t>
            </w:r>
          </w:p>
        </w:tc>
        <w:tc>
          <w:tcPr>
            <w:tcW w:type="dxa" w:w="7128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Utfall förbättrar beslutsmodellen men får inte tyst ändra verifierade fakta.</w:t>
            </w:r>
          </w:p>
        </w:tc>
      </w:tr>
      <w:tr>
        <w:trPr>
          <w:cantSplit/>
        </w:trPr>
        <w:tc>
          <w:tcPr>
            <w:tcW w:type="dxa" w:w="2520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Ingen falsk precision</w:t>
            </w:r>
          </w:p>
        </w:tc>
        <w:tc>
          <w:tcPr>
            <w:tcW w:type="dxa" w:w="7128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Poäng och procentsatser är beslutsstöd, inte vetenskapliga garantier.</w:t>
            </w:r>
          </w:p>
        </w:tc>
      </w:tr>
      <w:tr>
        <w:trPr>
          <w:cantSplit/>
        </w:trPr>
        <w:tc>
          <w:tcPr>
            <w:tcW w:type="dxa" w:w="2520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Icke-destruktiv utveckling</w:t>
            </w:r>
          </w:p>
        </w:tc>
        <w:tc>
          <w:tcPr>
            <w:tcW w:type="dxa" w:w="7128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Nya modeller och migreringar bevarar historik och kräver uttryckligt godkännande vid destruktiva förändringar.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  <w:keepLines/>
      </w:pPr>
      <w:r>
        <w:t>4. Beslutsarkitektur</w:t>
      </w:r>
    </w:p>
    <w:p>
      <w:pPr>
        <w:pStyle w:val="Lead"/>
      </w:pPr>
      <w:r>
        <w:t>Motorn arbetar i en kontrollerad kedja. Varje steg producerar ett granskningsbart mellanresultat och kan avbrytas om underlaget är otillräckligt.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9DCD6"/>
          <w:left w:val="single" w:sz="5" w:color="C9DCD6"/>
          <w:bottom w:val="single" w:sz="5" w:color="C9DCD6"/>
          <w:right w:val="single" w:sz="5" w:color="C9DCD6"/>
          <w:insideH w:val="single" w:sz="5" w:color="C9DCD6"/>
          <w:insideV w:val="single" w:sz="5" w:color="C9DCD6"/>
        </w:tblBorders>
      </w:tblPr>
      <w:tblGrid>
        <w:gridCol w:w="1944"/>
        <w:gridCol w:w="7704"/>
      </w:tblGrid>
      <w:tr>
        <w:trPr>
          <w:tblHeader w:val="true"/>
        </w:trPr>
        <w:tc>
          <w:tcPr>
            <w:tcW w:type="dxa" w:w="4939"/>
            <w:shd w:fill="0F6B5B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pStyle w:val="TableHeader"/>
            </w:pPr>
            <w:r>
              <w:t>Steg</w:t>
            </w:r>
          </w:p>
        </w:tc>
        <w:tc>
          <w:tcPr>
            <w:tcW w:type="dxa" w:w="4939"/>
            <w:shd w:fill="0F6B5B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pStyle w:val="TableHeader"/>
            </w:pPr>
            <w:r>
              <w:t>Output</w:t>
            </w:r>
          </w:p>
        </w:tc>
      </w:tr>
      <w:tr>
        <w:trPr>
          <w:cantSplit/>
        </w:trPr>
        <w:tc>
          <w:tcPr>
            <w:tcW w:type="dxa" w:w="1944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1. Kontext</w:t>
            </w:r>
          </w:p>
        </w:tc>
        <w:tc>
          <w:tcPr>
            <w:tcW w:type="dxa" w:w="7704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Hämta aktuellt mål, tidsram, resurser och relevanta Company Brain-objekt.</w:t>
            </w:r>
          </w:p>
        </w:tc>
      </w:tr>
      <w:tr>
        <w:trPr>
          <w:cantSplit/>
        </w:trPr>
        <w:tc>
          <w:tcPr>
            <w:tcW w:type="dxa" w:w="1944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2. Datakvalitet</w:t>
            </w:r>
          </w:p>
        </w:tc>
        <w:tc>
          <w:tcPr>
            <w:tcW w:type="dxa" w:w="7704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Kontrollera källa, aktualitet, konflikter och kunskapsluckor.</w:t>
            </w:r>
          </w:p>
        </w:tc>
      </w:tr>
      <w:tr>
        <w:trPr>
          <w:cantSplit/>
        </w:trPr>
        <w:tc>
          <w:tcPr>
            <w:tcW w:type="dxa" w:w="1944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3. Diagnos</w:t>
            </w:r>
          </w:p>
        </w:tc>
        <w:tc>
          <w:tcPr>
            <w:tcW w:type="dxa" w:w="7704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Identifiera affärsläge, flaskhalsar, möjligheter och risker.</w:t>
            </w:r>
          </w:p>
        </w:tc>
      </w:tr>
      <w:tr>
        <w:trPr>
          <w:cantSplit/>
        </w:trPr>
        <w:tc>
          <w:tcPr>
            <w:tcW w:type="dxa" w:w="1944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4. Kandidater</w:t>
            </w:r>
          </w:p>
        </w:tc>
        <w:tc>
          <w:tcPr>
            <w:tcW w:type="dxa" w:w="7704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Generera ett begränsat antal möjliga initiativ.</w:t>
            </w:r>
          </w:p>
        </w:tc>
      </w:tr>
      <w:tr>
        <w:trPr>
          <w:cantSplit/>
        </w:trPr>
        <w:tc>
          <w:tcPr>
            <w:tcW w:type="dxa" w:w="1944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5. Kvalificering</w:t>
            </w:r>
          </w:p>
        </w:tc>
        <w:tc>
          <w:tcPr>
            <w:tcW w:type="dxa" w:w="7704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Eliminera initiativ som saknar stöd, behörighet eller rimlig affärslogik.</w:t>
            </w:r>
          </w:p>
        </w:tc>
      </w:tr>
      <w:tr>
        <w:trPr>
          <w:cantSplit/>
        </w:trPr>
        <w:tc>
          <w:tcPr>
            <w:tcW w:type="dxa" w:w="1944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6. Prioritering</w:t>
            </w:r>
          </w:p>
        </w:tc>
        <w:tc>
          <w:tcPr>
            <w:tcW w:type="dxa" w:w="7704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Bedöm impact, confidence, effort, urgency och strategisk passform.</w:t>
            </w:r>
          </w:p>
        </w:tc>
      </w:tr>
      <w:tr>
        <w:trPr>
          <w:cantSplit/>
        </w:trPr>
        <w:tc>
          <w:tcPr>
            <w:tcW w:type="dxa" w:w="1944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7. Rekommendation</w:t>
            </w:r>
          </w:p>
        </w:tc>
        <w:tc>
          <w:tcPr>
            <w:tcW w:type="dxa" w:w="7704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Formulera tydlig handling, motiv, förväntat utfall och alternativ.</w:t>
            </w:r>
          </w:p>
        </w:tc>
      </w:tr>
      <w:tr>
        <w:trPr>
          <w:cantSplit/>
        </w:trPr>
        <w:tc>
          <w:tcPr>
            <w:tcW w:type="dxa" w:w="1944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8. Mänskligt beslut</w:t>
            </w:r>
          </w:p>
        </w:tc>
        <w:tc>
          <w:tcPr>
            <w:tcW w:type="dxa" w:w="7704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Acceptera, ändra, avvisa, senarelägg eller begär mer underlag.</w:t>
            </w:r>
          </w:p>
        </w:tc>
      </w:tr>
      <w:tr>
        <w:trPr>
          <w:cantSplit/>
        </w:trPr>
        <w:tc>
          <w:tcPr>
            <w:tcW w:type="dxa" w:w="1944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9. Exekvering</w:t>
            </w:r>
          </w:p>
        </w:tc>
        <w:tc>
          <w:tcPr>
            <w:tcW w:type="dxa" w:w="7704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Skicka godkända uppdrag till rätt specialist eller arbetsflöde.</w:t>
            </w:r>
          </w:p>
        </w:tc>
      </w:tr>
      <w:tr>
        <w:trPr>
          <w:cantSplit/>
        </w:trPr>
        <w:tc>
          <w:tcPr>
            <w:tcW w:type="dxa" w:w="1944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10. Utfall</w:t>
            </w:r>
          </w:p>
        </w:tc>
        <w:tc>
          <w:tcPr>
            <w:tcW w:type="dxa" w:w="7704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Mät resultat, dokumentera beslut och uppdatera Decision Memory.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878"/>
            <w:shd w:fill="FCEDEA"/>
            <w:tcMar>
              <w:top w:w="180" w:type="dxa"/>
              <w:start w:w="210" w:type="dxa"/>
              <w:bottom w:w="180" w:type="dxa"/>
              <w:end w:w="210" w:type="dxa"/>
            </w:tcMar>
          </w:tcPr>
          <w:p>
            <w:pPr>
              <w:pStyle w:val="Heading3"/>
              <w:spacing w:before="0" w:after="80"/>
            </w:pPr>
            <w:r>
              <w:t>Stop condition</w:t>
            </w:r>
          </w:p>
          <w:p>
            <w:pPr>
              <w:pStyle w:val="TableText"/>
            </w:pPr>
            <w:r>
              <w:t>Om kritiska fakta saknas ska motorn fråga, markera antaganden eller rekommendera att avvakta. Den får inte fylla luckan med ett dolt antagande.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  <w:keepLines/>
      </w:pPr>
      <w:r>
        <w:t>5. Input- och signalkatalog</w:t>
      </w:r>
    </w:p>
    <w:p>
      <w:r>
        <w:t>Inputs delas i fyra lager. Lagerindelningen styr både förtroende och hur rekommendationen förklaras.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9DCD6"/>
          <w:left w:val="single" w:sz="5" w:color="C9DCD6"/>
          <w:bottom w:val="single" w:sz="5" w:color="C9DCD6"/>
          <w:right w:val="single" w:sz="5" w:color="C9DCD6"/>
          <w:insideH w:val="single" w:sz="5" w:color="C9DCD6"/>
          <w:insideV w:val="single" w:sz="5" w:color="C9DCD6"/>
        </w:tblBorders>
      </w:tblPr>
      <w:tblGrid>
        <w:gridCol w:w="1944"/>
        <w:gridCol w:w="3672"/>
        <w:gridCol w:w="4032"/>
      </w:tblGrid>
      <w:tr>
        <w:trPr>
          <w:tblHeader w:val="true"/>
        </w:trPr>
        <w:tc>
          <w:tcPr>
            <w:tcW w:type="dxa" w:w="3293"/>
            <w:shd w:fill="0F6B5B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pStyle w:val="TableHeader"/>
            </w:pPr>
            <w:r>
              <w:t>Lager</w:t>
            </w:r>
          </w:p>
        </w:tc>
        <w:tc>
          <w:tcPr>
            <w:tcW w:type="dxa" w:w="3293"/>
            <w:shd w:fill="0F6B5B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pStyle w:val="TableHeader"/>
            </w:pPr>
            <w:r>
              <w:t>Exempel</w:t>
            </w:r>
          </w:p>
        </w:tc>
        <w:tc>
          <w:tcPr>
            <w:tcW w:type="dxa" w:w="3293"/>
            <w:shd w:fill="0F6B5B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pStyle w:val="TableHeader"/>
            </w:pPr>
            <w:r>
              <w:t>Användning</w:t>
            </w:r>
          </w:p>
        </w:tc>
      </w:tr>
      <w:tr>
        <w:trPr>
          <w:cantSplit/>
        </w:trPr>
        <w:tc>
          <w:tcPr>
            <w:tcW w:type="dxa" w:w="1944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Företagsfakta</w:t>
            </w:r>
          </w:p>
        </w:tc>
        <w:tc>
          <w:tcPr>
            <w:tcW w:type="dxa" w:w="3672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Erbjudanden, marginal, målgrupper, geografi, tonalitet</w:t>
            </w:r>
          </w:p>
        </w:tc>
        <w:tc>
          <w:tcPr>
            <w:tcW w:type="dxa" w:w="4032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Primär strategisk kontext</w:t>
            </w:r>
          </w:p>
        </w:tc>
      </w:tr>
      <w:tr>
        <w:trPr>
          <w:cantSplit/>
        </w:trPr>
        <w:tc>
          <w:tcPr>
            <w:tcW w:type="dxa" w:w="1944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Operativa signaler</w:t>
            </w:r>
          </w:p>
        </w:tc>
        <w:tc>
          <w:tcPr>
            <w:tcW w:type="dxa" w:w="3672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Kapacitet, lager, kalender, budget, godkännanden</w:t>
            </w:r>
          </w:p>
        </w:tc>
        <w:tc>
          <w:tcPr>
            <w:tcW w:type="dxa" w:w="4032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Genomförbarhet och timing</w:t>
            </w:r>
          </w:p>
        </w:tc>
      </w:tr>
      <w:tr>
        <w:trPr>
          <w:cantSplit/>
        </w:trPr>
        <w:tc>
          <w:tcPr>
            <w:tcW w:type="dxa" w:w="1944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Prestationsdata</w:t>
            </w:r>
          </w:p>
        </w:tc>
        <w:tc>
          <w:tcPr>
            <w:tcW w:type="dxa" w:w="3672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Försäljning, leads, kampanjutfall, kanalresultat</w:t>
            </w:r>
          </w:p>
        </w:tc>
        <w:tc>
          <w:tcPr>
            <w:tcW w:type="dxa" w:w="4032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Evidens och lärande</w:t>
            </w:r>
          </w:p>
        </w:tc>
      </w:tr>
      <w:tr>
        <w:trPr>
          <w:cantSplit/>
        </w:trPr>
        <w:tc>
          <w:tcPr>
            <w:tcW w:type="dxa" w:w="1944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Externa signaler</w:t>
            </w:r>
          </w:p>
        </w:tc>
        <w:tc>
          <w:tcPr>
            <w:tcW w:type="dxa" w:w="3672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Säsong, marknadshändelser, efterfrågesignaler</w:t>
            </w:r>
          </w:p>
        </w:tc>
        <w:tc>
          <w:tcPr>
            <w:tcW w:type="dxa" w:w="4032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Möjligheter; kräver källa och aktualitet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t>5.1 Minimikrav för strategiska rekommendationer</w:t>
      </w:r>
    </w:p>
    <w:p>
      <w:pPr>
        <w:pStyle w:val="ListBullet"/>
        <w:spacing w:after="60"/>
        <w:ind w:left="346" w:hanging="202"/>
      </w:pPr>
      <w:r>
        <w:t>Ett uttryckligt affärsmål eller ett tydligt problem.</w:t>
      </w:r>
    </w:p>
    <w:p>
      <w:pPr>
        <w:pStyle w:val="ListBullet"/>
        <w:spacing w:after="60"/>
        <w:ind w:left="346" w:hanging="202"/>
      </w:pPr>
      <w:r>
        <w:t>Minst ett relevant erbjudande eller värdeerbjudande.</w:t>
      </w:r>
    </w:p>
    <w:p>
      <w:pPr>
        <w:pStyle w:val="ListBullet"/>
        <w:spacing w:after="60"/>
        <w:ind w:left="346" w:hanging="202"/>
      </w:pPr>
      <w:r>
        <w:t>En identifierbar målgrupp.</w:t>
      </w:r>
    </w:p>
    <w:p>
      <w:pPr>
        <w:pStyle w:val="ListBullet"/>
        <w:spacing w:after="60"/>
        <w:ind w:left="346" w:hanging="202"/>
      </w:pPr>
      <w:r>
        <w:t>En tidsram eller anledning till timing.</w:t>
      </w:r>
    </w:p>
    <w:p>
      <w:pPr>
        <w:pStyle w:val="ListBullet"/>
        <w:spacing w:after="60"/>
        <w:ind w:left="346" w:hanging="202"/>
      </w:pPr>
      <w:r>
        <w:t>Tillräcklig information om genomförbarhet.</w:t>
      </w:r>
    </w:p>
    <w:p>
      <w:pPr>
        <w:pStyle w:val="ListBullet"/>
        <w:spacing w:after="60"/>
        <w:ind w:left="346" w:hanging="202"/>
      </w:pPr>
      <w:r>
        <w:t>Källstatus för centrala påståenden.</w:t>
      </w:r>
    </w:p>
    <w:p>
      <w:pPr>
        <w:pStyle w:val="Heading2"/>
        <w:keepNext/>
        <w:keepLines/>
      </w:pPr>
      <w:r>
        <w:t>5.2 Signalaktualitet</w:t>
      </w:r>
    </w:p>
    <w:p>
      <w:r>
        <w:t>Varje tidskänslig signal ska bära datum, källa och giltighetsbedömning. Utgången data får användas som historisk referens men inte presenteras som aktuellt faktum.</w:t>
      </w:r>
    </w:p>
    <w:p>
      <w:r>
        <w:br w:type="page"/>
      </w:r>
    </w:p>
    <w:p>
      <w:pPr>
        <w:pStyle w:val="Heading1"/>
        <w:keepNext/>
        <w:keepLines/>
      </w:pPr>
      <w:r>
        <w:t>6. Knowledge Trust Model</w:t>
      </w:r>
    </w:p>
    <w:p>
      <w:pPr>
        <w:pStyle w:val="Lead"/>
      </w:pPr>
      <w:r>
        <w:t>Trust Model avgör inte om ett påstående är sant. Den avgör hur försiktigt motorn får använda det och vilket språk som krävs.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9DCD6"/>
          <w:left w:val="single" w:sz="5" w:color="C9DCD6"/>
          <w:bottom w:val="single" w:sz="5" w:color="C9DCD6"/>
          <w:right w:val="single" w:sz="5" w:color="C9DCD6"/>
          <w:insideH w:val="single" w:sz="5" w:color="C9DCD6"/>
          <w:insideV w:val="single" w:sz="5" w:color="C9DCD6"/>
        </w:tblBorders>
      </w:tblPr>
      <w:tblGrid>
        <w:gridCol w:w="1944"/>
        <w:gridCol w:w="1656"/>
        <w:gridCol w:w="3384"/>
        <w:gridCol w:w="2952"/>
      </w:tblGrid>
      <w:tr>
        <w:trPr>
          <w:tblHeader w:val="true"/>
        </w:trPr>
        <w:tc>
          <w:tcPr>
            <w:tcW w:type="dxa" w:w="2469"/>
            <w:shd w:fill="0F6B5B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pStyle w:val="TableHeader"/>
            </w:pPr>
            <w:r>
              <w:t>Källtyp</w:t>
            </w:r>
          </w:p>
        </w:tc>
        <w:tc>
          <w:tcPr>
            <w:tcW w:type="dxa" w:w="2469"/>
            <w:shd w:fill="0F6B5B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pStyle w:val="TableHeader"/>
            </w:pPr>
            <w:r>
              <w:t>Standardtillit</w:t>
            </w:r>
          </w:p>
        </w:tc>
        <w:tc>
          <w:tcPr>
            <w:tcW w:type="dxa" w:w="2469"/>
            <w:shd w:fill="0F6B5B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pStyle w:val="TableHeader"/>
            </w:pPr>
            <w:r>
              <w:t>Tillåten användning</w:t>
            </w:r>
          </w:p>
        </w:tc>
        <w:tc>
          <w:tcPr>
            <w:tcW w:type="dxa" w:w="2469"/>
            <w:shd w:fill="0F6B5B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pStyle w:val="TableHeader"/>
            </w:pPr>
            <w:r>
              <w:t>Krav</w:t>
            </w:r>
          </w:p>
        </w:tc>
      </w:tr>
      <w:tr>
        <w:trPr>
          <w:cantSplit/>
        </w:trPr>
        <w:tc>
          <w:tcPr>
            <w:tcW w:type="dxa" w:w="1944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user_confirmed</w:t>
            </w:r>
          </w:p>
        </w:tc>
        <w:tc>
          <w:tcPr>
            <w:tcW w:type="dxa" w:w="1656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Mycket hög</w:t>
            </w:r>
          </w:p>
        </w:tc>
        <w:tc>
          <w:tcPr>
            <w:tcW w:type="dxa" w:w="3384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Kan ligga till grund för beslut</w:t>
            </w:r>
          </w:p>
        </w:tc>
        <w:tc>
          <w:tcPr>
            <w:tcW w:type="dxa" w:w="2952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Visa datum och vem som verifierade</w:t>
            </w:r>
          </w:p>
        </w:tc>
      </w:tr>
      <w:tr>
        <w:trPr>
          <w:cantSplit/>
        </w:trPr>
        <w:tc>
          <w:tcPr>
            <w:tcW w:type="dxa" w:w="1944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system_verified</w:t>
            </w:r>
          </w:p>
        </w:tc>
        <w:tc>
          <w:tcPr>
            <w:tcW w:type="dxa" w:w="1656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Hög</w:t>
            </w:r>
          </w:p>
        </w:tc>
        <w:tc>
          <w:tcPr>
            <w:tcW w:type="dxa" w:w="3384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Kan användas som operativt faktum</w:t>
            </w:r>
          </w:p>
        </w:tc>
        <w:tc>
          <w:tcPr>
            <w:tcW w:type="dxa" w:w="2952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Spårbar systemkälla och aktualitet</w:t>
            </w:r>
          </w:p>
        </w:tc>
      </w:tr>
      <w:tr>
        <w:trPr>
          <w:cantSplit/>
        </w:trPr>
        <w:tc>
          <w:tcPr>
            <w:tcW w:type="dxa" w:w="1944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campaign_learned</w:t>
            </w:r>
          </w:p>
        </w:tc>
        <w:tc>
          <w:tcPr>
            <w:tcW w:type="dxa" w:w="1656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Medel-hög</w:t>
            </w:r>
          </w:p>
        </w:tc>
        <w:tc>
          <w:tcPr>
            <w:tcW w:type="dxa" w:w="3384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Stöd för mönster och jämförelser</w:t>
            </w:r>
          </w:p>
        </w:tc>
        <w:tc>
          <w:tcPr>
            <w:tcW w:type="dxa" w:w="2952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Tillräckligt datamaterial och tidsperiod</w:t>
            </w:r>
          </w:p>
        </w:tc>
      </w:tr>
      <w:tr>
        <w:trPr>
          <w:cantSplit/>
        </w:trPr>
        <w:tc>
          <w:tcPr>
            <w:tcW w:type="dxa" w:w="1944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website_extracted</w:t>
            </w:r>
          </w:p>
        </w:tc>
        <w:tc>
          <w:tcPr>
            <w:tcW w:type="dxa" w:w="1656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Medel</w:t>
            </w:r>
          </w:p>
        </w:tc>
        <w:tc>
          <w:tcPr>
            <w:tcW w:type="dxa" w:w="3384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Preliminär företagsinformation</w:t>
            </w:r>
          </w:p>
        </w:tc>
        <w:tc>
          <w:tcPr>
            <w:tcW w:type="dxa" w:w="2952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Källa, hämtningstid och möjlighet att verifiera</w:t>
            </w:r>
          </w:p>
        </w:tc>
      </w:tr>
      <w:tr>
        <w:trPr>
          <w:cantSplit/>
        </w:trPr>
        <w:tc>
          <w:tcPr>
            <w:tcW w:type="dxa" w:w="1944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external_sourced</w:t>
            </w:r>
          </w:p>
        </w:tc>
        <w:tc>
          <w:tcPr>
            <w:tcW w:type="dxa" w:w="1656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Varierar</w:t>
            </w:r>
          </w:p>
        </w:tc>
        <w:tc>
          <w:tcPr>
            <w:tcW w:type="dxa" w:w="3384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Marknads- och omvärldssignal</w:t>
            </w:r>
          </w:p>
        </w:tc>
        <w:tc>
          <w:tcPr>
            <w:tcW w:type="dxa" w:w="2952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Källkvalitet, datum och relevans</w:t>
            </w:r>
          </w:p>
        </w:tc>
      </w:tr>
      <w:tr>
        <w:trPr>
          <w:cantSplit/>
        </w:trPr>
        <w:tc>
          <w:tcPr>
            <w:tcW w:type="dxa" w:w="1944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ai_suggested</w:t>
            </w:r>
          </w:p>
        </w:tc>
        <w:tc>
          <w:tcPr>
            <w:tcW w:type="dxa" w:w="1656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Låg tills verifierad</w:t>
            </w:r>
          </w:p>
        </w:tc>
        <w:tc>
          <w:tcPr>
            <w:tcW w:type="dxa" w:w="3384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Hypotes, fråga eller scenario</w:t>
            </w:r>
          </w:p>
        </w:tc>
        <w:tc>
          <w:tcPr>
            <w:tcW w:type="dxa" w:w="2952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Måste märkas som antagande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878"/>
            <w:shd w:fill="FFF4DF"/>
            <w:tcMar>
              <w:top w:w="180" w:type="dxa"/>
              <w:start w:w="210" w:type="dxa"/>
              <w:bottom w:w="180" w:type="dxa"/>
              <w:end w:w="210" w:type="dxa"/>
            </w:tcMar>
          </w:tcPr>
          <w:p>
            <w:pPr>
              <w:pStyle w:val="Heading3"/>
              <w:spacing w:before="0" w:after="80"/>
            </w:pPr>
            <w:r>
              <w:t>Konfliktregel</w:t>
            </w:r>
          </w:p>
          <w:p>
            <w:pPr>
              <w:pStyle w:val="TableText"/>
            </w:pPr>
            <w:r>
              <w:t>Nyare information vinner inte automatiskt. Vid konflikt mellan verifierade källor ska motorn flagga konflikten, visa båda versionerna och begära beslut.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t>6.1 Faktum, inferens och antagande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9DCD6"/>
          <w:left w:val="single" w:sz="5" w:color="C9DCD6"/>
          <w:bottom w:val="single" w:sz="5" w:color="C9DCD6"/>
          <w:right w:val="single" w:sz="5" w:color="C9DCD6"/>
          <w:insideH w:val="single" w:sz="5" w:color="C9DCD6"/>
          <w:insideV w:val="single" w:sz="5" w:color="C9DCD6"/>
        </w:tblBorders>
      </w:tblPr>
      <w:tblGrid>
        <w:gridCol w:w="1728"/>
        <w:gridCol w:w="4536"/>
        <w:gridCol w:w="3384"/>
      </w:tblGrid>
      <w:tr>
        <w:trPr>
          <w:tblHeader w:val="true"/>
        </w:trPr>
        <w:tc>
          <w:tcPr>
            <w:tcW w:type="dxa" w:w="3293"/>
            <w:shd w:fill="0F6B5B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pStyle w:val="TableHeader"/>
            </w:pPr>
            <w:r>
              <w:t>Typ</w:t>
            </w:r>
          </w:p>
        </w:tc>
        <w:tc>
          <w:tcPr>
            <w:tcW w:type="dxa" w:w="3293"/>
            <w:shd w:fill="0F6B5B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pStyle w:val="TableHeader"/>
            </w:pPr>
            <w:r>
              <w:t>Definition</w:t>
            </w:r>
          </w:p>
        </w:tc>
        <w:tc>
          <w:tcPr>
            <w:tcW w:type="dxa" w:w="3293"/>
            <w:shd w:fill="0F6B5B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pStyle w:val="TableHeader"/>
            </w:pPr>
            <w:r>
              <w:t>UI-språk</w:t>
            </w:r>
          </w:p>
        </w:tc>
      </w:tr>
      <w:tr>
        <w:trPr>
          <w:cantSplit/>
        </w:trPr>
        <w:tc>
          <w:tcPr>
            <w:tcW w:type="dxa" w:w="1728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Faktum</w:t>
            </w:r>
          </w:p>
        </w:tc>
        <w:tc>
          <w:tcPr>
            <w:tcW w:type="dxa" w:w="4536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Direkt stödd av betrodd källa</w:t>
            </w:r>
          </w:p>
        </w:tc>
        <w:tc>
          <w:tcPr>
            <w:tcW w:type="dxa" w:w="3384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“Enligt Company Brain…”</w:t>
            </w:r>
          </w:p>
        </w:tc>
      </w:tr>
      <w:tr>
        <w:trPr>
          <w:cantSplit/>
        </w:trPr>
        <w:tc>
          <w:tcPr>
            <w:tcW w:type="dxa" w:w="1728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Inferens</w:t>
            </w:r>
          </w:p>
        </w:tc>
        <w:tc>
          <w:tcPr>
            <w:tcW w:type="dxa" w:w="4536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Rimlig slutsats från flera signaler</w:t>
            </w:r>
          </w:p>
        </w:tc>
        <w:tc>
          <w:tcPr>
            <w:tcW w:type="dxa" w:w="3384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“Det tyder på att…”</w:t>
            </w:r>
          </w:p>
        </w:tc>
      </w:tr>
      <w:tr>
        <w:trPr>
          <w:cantSplit/>
        </w:trPr>
        <w:tc>
          <w:tcPr>
            <w:tcW w:type="dxa" w:w="1728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Antagande</w:t>
            </w:r>
          </w:p>
        </w:tc>
        <w:tc>
          <w:tcPr>
            <w:tcW w:type="dxa" w:w="4536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Nödvändig men ej verifierad premiss</w:t>
            </w:r>
          </w:p>
        </w:tc>
        <w:tc>
          <w:tcPr>
            <w:tcW w:type="dxa" w:w="3384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“Detta bygger på antagandet att…”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  <w:keepLines/>
      </w:pPr>
      <w:r>
        <w:t>7. Opportunity &amp; Risk Detection</w:t>
      </w:r>
    </w:p>
    <w:p>
      <w:r>
        <w:t>Motorn ska aktivt leta efter både uppsida och skäl att avstå. Ett moget system producerar inte bara idéer - det skyddar användarens tid, budget och varumärke.</w:t>
      </w:r>
    </w:p>
    <w:p>
      <w:pPr>
        <w:pStyle w:val="Heading2"/>
        <w:keepNext/>
        <w:keepLines/>
      </w:pPr>
      <w:r>
        <w:t>7.1 Möjlighetsmönster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9DCD6"/>
          <w:left w:val="single" w:sz="5" w:color="C9DCD6"/>
          <w:bottom w:val="single" w:sz="5" w:color="C9DCD6"/>
          <w:right w:val="single" w:sz="5" w:color="C9DCD6"/>
          <w:insideH w:val="single" w:sz="5" w:color="C9DCD6"/>
          <w:insideV w:val="single" w:sz="5" w:color="C9DCD6"/>
        </w:tblBorders>
      </w:tblPr>
      <w:tblGrid>
        <w:gridCol w:w="2088"/>
        <w:gridCol w:w="3672"/>
        <w:gridCol w:w="3888"/>
      </w:tblGrid>
      <w:tr>
        <w:trPr>
          <w:tblHeader w:val="true"/>
        </w:trPr>
        <w:tc>
          <w:tcPr>
            <w:tcW w:type="dxa" w:w="3293"/>
            <w:shd w:fill="0F6B5B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pStyle w:val="TableHeader"/>
            </w:pPr>
            <w:r>
              <w:t>Mönster</w:t>
            </w:r>
          </w:p>
        </w:tc>
        <w:tc>
          <w:tcPr>
            <w:tcW w:type="dxa" w:w="3293"/>
            <w:shd w:fill="0F6B5B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pStyle w:val="TableHeader"/>
            </w:pPr>
            <w:r>
              <w:t>Exempel på signal</w:t>
            </w:r>
          </w:p>
        </w:tc>
        <w:tc>
          <w:tcPr>
            <w:tcW w:type="dxa" w:w="3293"/>
            <w:shd w:fill="0F6B5B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pStyle w:val="TableHeader"/>
            </w:pPr>
            <w:r>
              <w:t>Möjlig rekommendation</w:t>
            </w:r>
          </w:p>
        </w:tc>
      </w:tr>
      <w:tr>
        <w:trPr>
          <w:cantSplit/>
        </w:trPr>
        <w:tc>
          <w:tcPr>
            <w:tcW w:type="dxa" w:w="2088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Outnyttjad efterfrågan</w:t>
            </w:r>
          </w:p>
        </w:tc>
        <w:tc>
          <w:tcPr>
            <w:tcW w:type="dxa" w:w="3672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Hög sök- eller säljintention, låg synlighet</w:t>
            </w:r>
          </w:p>
        </w:tc>
        <w:tc>
          <w:tcPr>
            <w:tcW w:type="dxa" w:w="3888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Prioritera tydligare erbjudande eller kampanj</w:t>
            </w:r>
          </w:p>
        </w:tc>
      </w:tr>
      <w:tr>
        <w:trPr>
          <w:cantSplit/>
        </w:trPr>
        <w:tc>
          <w:tcPr>
            <w:tcW w:type="dxa" w:w="2088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Hög marginal / låg exponering</w:t>
            </w:r>
          </w:p>
        </w:tc>
        <w:tc>
          <w:tcPr>
            <w:tcW w:type="dxa" w:w="3672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Lönsam produkt marknadsförs sällan</w:t>
            </w:r>
          </w:p>
        </w:tc>
        <w:tc>
          <w:tcPr>
            <w:tcW w:type="dxa" w:w="3888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Testa fokuserad kommunikation</w:t>
            </w:r>
          </w:p>
        </w:tc>
      </w:tr>
      <w:tr>
        <w:trPr>
          <w:cantSplit/>
        </w:trPr>
        <w:tc>
          <w:tcPr>
            <w:tcW w:type="dxa" w:w="2088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Säsongsfönster</w:t>
            </w:r>
          </w:p>
        </w:tc>
        <w:tc>
          <w:tcPr>
            <w:tcW w:type="dxa" w:w="3672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Relevant period närmar sig</w:t>
            </w:r>
          </w:p>
        </w:tc>
        <w:tc>
          <w:tcPr>
            <w:tcW w:type="dxa" w:w="3888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Förbered kampanj före efterfrågetoppen</w:t>
            </w:r>
          </w:p>
        </w:tc>
      </w:tr>
      <w:tr>
        <w:trPr>
          <w:cantSplit/>
        </w:trPr>
        <w:tc>
          <w:tcPr>
            <w:tcW w:type="dxa" w:w="2088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Bevisad vinnare</w:t>
            </w:r>
          </w:p>
        </w:tc>
        <w:tc>
          <w:tcPr>
            <w:tcW w:type="dxa" w:w="3672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Tidigare kampanj överträffade normalnivå</w:t>
            </w:r>
          </w:p>
        </w:tc>
        <w:tc>
          <w:tcPr>
            <w:tcW w:type="dxa" w:w="3888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Återanvänd principen med kontrollerad variation</w:t>
            </w:r>
          </w:p>
        </w:tc>
      </w:tr>
      <w:tr>
        <w:trPr>
          <w:cantSplit/>
        </w:trPr>
        <w:tc>
          <w:tcPr>
            <w:tcW w:type="dxa" w:w="2088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Kundfriktion</w:t>
            </w:r>
          </w:p>
        </w:tc>
        <w:tc>
          <w:tcPr>
            <w:tcW w:type="dxa" w:w="3672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Återkommande invändning eller fråga</w:t>
            </w:r>
          </w:p>
        </w:tc>
        <w:tc>
          <w:tcPr>
            <w:tcW w:type="dxa" w:w="3888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Skapa förklarande innehåll eller förbättra erbjudandet</w:t>
            </w:r>
          </w:p>
        </w:tc>
      </w:tr>
      <w:tr>
        <w:trPr>
          <w:cantSplit/>
        </w:trPr>
        <w:tc>
          <w:tcPr>
            <w:tcW w:type="dxa" w:w="2088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Kunskapslucka</w:t>
            </w:r>
          </w:p>
        </w:tc>
        <w:tc>
          <w:tcPr>
            <w:tcW w:type="dxa" w:w="3672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Strategiskt beslut blockeras av okänd faktor</w:t>
            </w:r>
          </w:p>
        </w:tc>
        <w:tc>
          <w:tcPr>
            <w:tcW w:type="dxa" w:w="3888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Rekommendera datainsamling före kampanj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t>7.2 Riskmönster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9DCD6"/>
          <w:left w:val="single" w:sz="5" w:color="C9DCD6"/>
          <w:bottom w:val="single" w:sz="5" w:color="C9DCD6"/>
          <w:right w:val="single" w:sz="5" w:color="C9DCD6"/>
          <w:insideH w:val="single" w:sz="5" w:color="C9DCD6"/>
          <w:insideV w:val="single" w:sz="5" w:color="C9DCD6"/>
        </w:tblBorders>
      </w:tblPr>
      <w:tblGrid>
        <w:gridCol w:w="3456"/>
        <w:gridCol w:w="6192"/>
      </w:tblGrid>
      <w:tr>
        <w:trPr>
          <w:tblHeader w:val="true"/>
        </w:trPr>
        <w:tc>
          <w:tcPr>
            <w:tcW w:type="dxa" w:w="4939"/>
            <w:shd w:fill="0F6B5B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pStyle w:val="TableHeader"/>
            </w:pPr>
            <w:r>
              <w:t>Risk</w:t>
            </w:r>
          </w:p>
        </w:tc>
        <w:tc>
          <w:tcPr>
            <w:tcW w:type="dxa" w:w="4939"/>
            <w:shd w:fill="0F6B5B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pStyle w:val="TableHeader"/>
            </w:pPr>
            <w:r>
              <w:t>Motorns respons</w:t>
            </w:r>
          </w:p>
        </w:tc>
      </w:tr>
      <w:tr>
        <w:trPr>
          <w:cantSplit/>
        </w:trPr>
        <w:tc>
          <w:tcPr>
            <w:tcW w:type="dxa" w:w="3456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Kapacitet saknas</w:t>
            </w:r>
          </w:p>
        </w:tc>
        <w:tc>
          <w:tcPr>
            <w:tcW w:type="dxa" w:w="6192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Avråd, senarelägg eller begränsa omfattning</w:t>
            </w:r>
          </w:p>
        </w:tc>
      </w:tr>
      <w:tr>
        <w:trPr>
          <w:cantSplit/>
        </w:trPr>
        <w:tc>
          <w:tcPr>
            <w:tcW w:type="dxa" w:w="3456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Erbjudandet är otydligt</w:t>
            </w:r>
          </w:p>
        </w:tc>
        <w:tc>
          <w:tcPr>
            <w:tcW w:type="dxa" w:w="6192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Rekommendera positionering före produktion</w:t>
            </w:r>
          </w:p>
        </w:tc>
      </w:tr>
      <w:tr>
        <w:trPr>
          <w:cantSplit/>
        </w:trPr>
        <w:tc>
          <w:tcPr>
            <w:tcW w:type="dxa" w:w="3456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Källan är svag</w:t>
            </w:r>
          </w:p>
        </w:tc>
        <w:tc>
          <w:tcPr>
            <w:tcW w:type="dxa" w:w="6192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Markera hypotes och sänk confidence</w:t>
            </w:r>
          </w:p>
        </w:tc>
      </w:tr>
      <w:tr>
        <w:trPr>
          <w:cantSplit/>
        </w:trPr>
        <w:tc>
          <w:tcPr>
            <w:tcW w:type="dxa" w:w="3456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Målkonflikt</w:t>
            </w:r>
          </w:p>
        </w:tc>
        <w:tc>
          <w:tcPr>
            <w:tcW w:type="dxa" w:w="6192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Visa trade-off och begär prioritering</w:t>
            </w:r>
          </w:p>
        </w:tc>
      </w:tr>
      <w:tr>
        <w:trPr>
          <w:cantSplit/>
        </w:trPr>
        <w:tc>
          <w:tcPr>
            <w:tcW w:type="dxa" w:w="3456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Kanal saknar evidens</w:t>
            </w:r>
          </w:p>
        </w:tc>
        <w:tc>
          <w:tcPr>
            <w:tcW w:type="dxa" w:w="6192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Föreslå litet test, inte full satsning</w:t>
            </w:r>
          </w:p>
        </w:tc>
      </w:tr>
      <w:tr>
        <w:trPr>
          <w:cantSplit/>
        </w:trPr>
        <w:tc>
          <w:tcPr>
            <w:tcW w:type="dxa" w:w="3456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Överkommunikation</w:t>
            </w:r>
          </w:p>
        </w:tc>
        <w:tc>
          <w:tcPr>
            <w:tcW w:type="dxa" w:w="6192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Rekommendera paus eller samordning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  <w:keepLines/>
      </w:pPr>
      <w:r>
        <w:t>8. Business Priority Framework</w:t>
      </w:r>
    </w:p>
    <w:p>
      <w:pPr>
        <w:pStyle w:val="Lead"/>
      </w:pPr>
      <w:r>
        <w:t>Prioritering ska vara förklarbar och konfigurerbar. Modellen använder dimensioner snarare än ett ogenomskinligt “AI-score”.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9DCD6"/>
          <w:left w:val="single" w:sz="5" w:color="C9DCD6"/>
          <w:bottom w:val="single" w:sz="5" w:color="C9DCD6"/>
          <w:right w:val="single" w:sz="5" w:color="C9DCD6"/>
          <w:insideH w:val="single" w:sz="5" w:color="C9DCD6"/>
          <w:insideV w:val="single" w:sz="5" w:color="C9DCD6"/>
        </w:tblBorders>
      </w:tblPr>
      <w:tblGrid>
        <w:gridCol w:w="1728"/>
        <w:gridCol w:w="5688"/>
        <w:gridCol w:w="2232"/>
      </w:tblGrid>
      <w:tr>
        <w:trPr>
          <w:tblHeader w:val="true"/>
        </w:trPr>
        <w:tc>
          <w:tcPr>
            <w:tcW w:type="dxa" w:w="3293"/>
            <w:shd w:fill="0F6B5B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pStyle w:val="TableHeader"/>
            </w:pPr>
            <w:r>
              <w:t>Dimension</w:t>
            </w:r>
          </w:p>
        </w:tc>
        <w:tc>
          <w:tcPr>
            <w:tcW w:type="dxa" w:w="3293"/>
            <w:shd w:fill="0F6B5B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pStyle w:val="TableHeader"/>
            </w:pPr>
            <w:r>
              <w:t>Fråga</w:t>
            </w:r>
          </w:p>
        </w:tc>
        <w:tc>
          <w:tcPr>
            <w:tcW w:type="dxa" w:w="3293"/>
            <w:shd w:fill="0F6B5B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pStyle w:val="TableHeader"/>
            </w:pPr>
            <w:r>
              <w:t>Skala</w:t>
            </w:r>
          </w:p>
        </w:tc>
      </w:tr>
      <w:tr>
        <w:trPr>
          <w:cantSplit/>
        </w:trPr>
        <w:tc>
          <w:tcPr>
            <w:tcW w:type="dxa" w:w="1728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Impact</w:t>
            </w:r>
          </w:p>
        </w:tc>
        <w:tc>
          <w:tcPr>
            <w:tcW w:type="dxa" w:w="5688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Hur stor affärseffekt kan initiativet rimligen ge?</w:t>
            </w:r>
          </w:p>
        </w:tc>
        <w:tc>
          <w:tcPr>
            <w:tcW w:type="dxa" w:w="2232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1-5</w:t>
            </w:r>
          </w:p>
        </w:tc>
      </w:tr>
      <w:tr>
        <w:trPr>
          <w:cantSplit/>
        </w:trPr>
        <w:tc>
          <w:tcPr>
            <w:tcW w:type="dxa" w:w="1728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Confidence</w:t>
            </w:r>
          </w:p>
        </w:tc>
        <w:tc>
          <w:tcPr>
            <w:tcW w:type="dxa" w:w="5688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Hur starkt stödjer underlaget denna bedömning?</w:t>
            </w:r>
          </w:p>
        </w:tc>
        <w:tc>
          <w:tcPr>
            <w:tcW w:type="dxa" w:w="2232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1-5</w:t>
            </w:r>
          </w:p>
        </w:tc>
      </w:tr>
      <w:tr>
        <w:trPr>
          <w:cantSplit/>
        </w:trPr>
        <w:tc>
          <w:tcPr>
            <w:tcW w:type="dxa" w:w="1728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Effort</w:t>
            </w:r>
          </w:p>
        </w:tc>
        <w:tc>
          <w:tcPr>
            <w:tcW w:type="dxa" w:w="5688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Hur mycket tid, kostnad och koordinering krävs?</w:t>
            </w:r>
          </w:p>
        </w:tc>
        <w:tc>
          <w:tcPr>
            <w:tcW w:type="dxa" w:w="2232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1-5; högre = mer</w:t>
            </w:r>
          </w:p>
        </w:tc>
      </w:tr>
      <w:tr>
        <w:trPr>
          <w:cantSplit/>
        </w:trPr>
        <w:tc>
          <w:tcPr>
            <w:tcW w:type="dxa" w:w="1728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Urgency</w:t>
            </w:r>
          </w:p>
        </w:tc>
        <w:tc>
          <w:tcPr>
            <w:tcW w:type="dxa" w:w="5688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Hur snabbt minskar möjligheten eller ökar risken?</w:t>
            </w:r>
          </w:p>
        </w:tc>
        <w:tc>
          <w:tcPr>
            <w:tcW w:type="dxa" w:w="2232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1-5</w:t>
            </w:r>
          </w:p>
        </w:tc>
      </w:tr>
      <w:tr>
        <w:trPr>
          <w:cantSplit/>
        </w:trPr>
        <w:tc>
          <w:tcPr>
            <w:tcW w:type="dxa" w:w="1728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Strategic fit</w:t>
            </w:r>
          </w:p>
        </w:tc>
        <w:tc>
          <w:tcPr>
            <w:tcW w:type="dxa" w:w="5688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Hur väl stödjer initiativet aktuella mål och positionering?</w:t>
            </w:r>
          </w:p>
        </w:tc>
        <w:tc>
          <w:tcPr>
            <w:tcW w:type="dxa" w:w="2232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1-5</w:t>
            </w:r>
          </w:p>
        </w:tc>
      </w:tr>
      <w:tr>
        <w:trPr>
          <w:cantSplit/>
        </w:trPr>
        <w:tc>
          <w:tcPr>
            <w:tcW w:type="dxa" w:w="1728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Feasibility</w:t>
            </w:r>
          </w:p>
        </w:tc>
        <w:tc>
          <w:tcPr>
            <w:tcW w:type="dxa" w:w="5688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Finns kapacitet, behörighet och nödvändiga beroenden?</w:t>
            </w:r>
          </w:p>
        </w:tc>
        <w:tc>
          <w:tcPr>
            <w:tcW w:type="dxa" w:w="2232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1-5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t>8.1 Priority Score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878"/>
            <w:shd w:fill="EAF4F1"/>
            <w:tcMar>
              <w:top w:w="180" w:type="dxa"/>
              <w:start w:w="210" w:type="dxa"/>
              <w:bottom w:w="180" w:type="dxa"/>
              <w:end w:w="210" w:type="dxa"/>
            </w:tcMar>
          </w:tcPr>
          <w:p>
            <w:pPr>
              <w:pStyle w:val="Heading3"/>
              <w:spacing w:before="0" w:after="80"/>
            </w:pPr>
            <w:r>
              <w:t>Rekommenderad v1-modell</w:t>
            </w:r>
          </w:p>
          <w:p>
            <w:pPr>
              <w:pStyle w:val="TableText"/>
            </w:pPr>
            <w:r>
              <w:t>Priority Score = viktad bedömning av Impact, Confidence, Urgency, Strategic fit och Feasibility, reducerad av Effort och risk. Vikterna är produktkonfiguration - inte en universell sanning.</w:t>
            </w:r>
          </w:p>
        </w:tc>
      </w:tr>
    </w:tbl>
    <w:p>
      <w:pPr>
        <w:spacing w:after="20"/>
      </w:pPr>
    </w:p>
    <w:p>
      <w:r>
        <w:t>Poängen ska användas för rangordning inom samma kontext. Den får inte presenteras som en exakt prognos eller jämföras mellan företag utan kalibrering.</w:t>
      </w:r>
    </w:p>
    <w:p>
      <w:pPr>
        <w:pStyle w:val="Heading2"/>
        <w:keepNext/>
        <w:keepLines/>
      </w:pPr>
      <w:r>
        <w:t>8.2 Business Impact Score</w:t>
      </w:r>
    </w:p>
    <w:p>
      <w:r>
        <w:t>Business Impact Score är en användarvänlig sammanfattning av förväntad betydelse: Låg, Medel eller Hög. Bakom etiketten ska användaren kunna se de drivande faktorerna.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9DCD6"/>
          <w:left w:val="single" w:sz="5" w:color="C9DCD6"/>
          <w:bottom w:val="single" w:sz="5" w:color="C9DCD6"/>
          <w:right w:val="single" w:sz="5" w:color="C9DCD6"/>
          <w:insideH w:val="single" w:sz="5" w:color="C9DCD6"/>
          <w:insideV w:val="single" w:sz="5" w:color="C9DCD6"/>
        </w:tblBorders>
      </w:tblPr>
      <w:tblGrid>
        <w:gridCol w:w="2880"/>
        <w:gridCol w:w="6768"/>
      </w:tblGrid>
      <w:tr>
        <w:trPr>
          <w:tblHeader w:val="true"/>
        </w:trPr>
        <w:tc>
          <w:tcPr>
            <w:tcW w:type="dxa" w:w="4939"/>
            <w:shd w:fill="0F6B5B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pStyle w:val="TableHeader"/>
            </w:pPr>
            <w:r>
              <w:t>Visas för användaren</w:t>
            </w:r>
          </w:p>
        </w:tc>
        <w:tc>
          <w:tcPr>
            <w:tcW w:type="dxa" w:w="4939"/>
            <w:shd w:fill="0F6B5B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pStyle w:val="TableHeader"/>
            </w:pPr>
            <w:r>
              <w:t>Internt underlag</w:t>
            </w:r>
          </w:p>
        </w:tc>
      </w:tr>
      <w:tr>
        <w:trPr>
          <w:cantSplit/>
        </w:trPr>
        <w:tc>
          <w:tcPr>
            <w:tcW w:type="dxa" w:w="2880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Impact: Hög</w:t>
            </w:r>
          </w:p>
        </w:tc>
        <w:tc>
          <w:tcPr>
            <w:tcW w:type="dxa" w:w="6768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Potential, målrelevans och kommersiell betydelse</w:t>
            </w:r>
          </w:p>
        </w:tc>
      </w:tr>
      <w:tr>
        <w:trPr>
          <w:cantSplit/>
        </w:trPr>
        <w:tc>
          <w:tcPr>
            <w:tcW w:type="dxa" w:w="2880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Confidence: Medel</w:t>
            </w:r>
          </w:p>
        </w:tc>
        <w:tc>
          <w:tcPr>
            <w:tcW w:type="dxa" w:w="6768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Källkvalitet, datamängd och stabilitet</w:t>
            </w:r>
          </w:p>
        </w:tc>
      </w:tr>
      <w:tr>
        <w:trPr>
          <w:cantSplit/>
        </w:trPr>
        <w:tc>
          <w:tcPr>
            <w:tcW w:type="dxa" w:w="2880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Effort: Låg</w:t>
            </w:r>
          </w:p>
        </w:tc>
        <w:tc>
          <w:tcPr>
            <w:tcW w:type="dxa" w:w="6768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Tid, budget, kompetens och beroenden</w:t>
            </w:r>
          </w:p>
        </w:tc>
      </w:tr>
      <w:tr>
        <w:trPr>
          <w:cantSplit/>
        </w:trPr>
        <w:tc>
          <w:tcPr>
            <w:tcW w:type="dxa" w:w="2880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Urgency: Hög</w:t>
            </w:r>
          </w:p>
        </w:tc>
        <w:tc>
          <w:tcPr>
            <w:tcW w:type="dxa" w:w="6768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Deadline, säsongsfönster eller risk för förlust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  <w:keepLines/>
      </w:pPr>
      <w:r>
        <w:t>9. Recommendation Contract</w:t>
      </w:r>
    </w:p>
    <w:p>
      <w:pPr>
        <w:pStyle w:val="Lead"/>
      </w:pPr>
      <w:r>
        <w:t>Varje rekommendation ska följa samma kontrakt, oavsett om den visas på Översikt, Strategi eller skickas till en specialist.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9DCD6"/>
          <w:left w:val="single" w:sz="5" w:color="C9DCD6"/>
          <w:bottom w:val="single" w:sz="5" w:color="C9DCD6"/>
          <w:right w:val="single" w:sz="5" w:color="C9DCD6"/>
          <w:insideH w:val="single" w:sz="5" w:color="C9DCD6"/>
          <w:insideV w:val="single" w:sz="5" w:color="C9DCD6"/>
        </w:tblBorders>
      </w:tblPr>
      <w:tblGrid>
        <w:gridCol w:w="3312"/>
        <w:gridCol w:w="6336"/>
      </w:tblGrid>
      <w:tr>
        <w:trPr>
          <w:tblHeader w:val="true"/>
        </w:trPr>
        <w:tc>
          <w:tcPr>
            <w:tcW w:type="dxa" w:w="4939"/>
            <w:shd w:fill="0F6B5B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pStyle w:val="TableHeader"/>
            </w:pPr>
            <w:r>
              <w:t>Fält</w:t>
            </w:r>
          </w:p>
        </w:tc>
        <w:tc>
          <w:tcPr>
            <w:tcW w:type="dxa" w:w="4939"/>
            <w:shd w:fill="0F6B5B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pStyle w:val="TableHeader"/>
            </w:pPr>
            <w:r>
              <w:t>Obligatoriskt innehåll</w:t>
            </w:r>
          </w:p>
        </w:tc>
      </w:tr>
      <w:tr>
        <w:trPr>
          <w:cantSplit/>
        </w:trPr>
        <w:tc>
          <w:tcPr>
            <w:tcW w:type="dxa" w:w="3312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recommendation_id</w:t>
            </w:r>
          </w:p>
        </w:tc>
        <w:tc>
          <w:tcPr>
            <w:tcW w:type="dxa" w:w="6336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Stabilt ID och version</w:t>
            </w:r>
          </w:p>
        </w:tc>
      </w:tr>
      <w:tr>
        <w:trPr>
          <w:cantSplit/>
        </w:trPr>
        <w:tc>
          <w:tcPr>
            <w:tcW w:type="dxa" w:w="3312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title</w:t>
            </w:r>
          </w:p>
        </w:tc>
        <w:tc>
          <w:tcPr>
            <w:tcW w:type="dxa" w:w="6336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Handlingsorienterad, specifik rubrik</w:t>
            </w:r>
          </w:p>
        </w:tc>
      </w:tr>
      <w:tr>
        <w:trPr>
          <w:cantSplit/>
        </w:trPr>
        <w:tc>
          <w:tcPr>
            <w:tcW w:type="dxa" w:w="3312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business_goal</w:t>
            </w:r>
          </w:p>
        </w:tc>
        <w:tc>
          <w:tcPr>
            <w:tcW w:type="dxa" w:w="6336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Vilket mål eller problem rekommendationen stödjer</w:t>
            </w:r>
          </w:p>
        </w:tc>
      </w:tr>
      <w:tr>
        <w:trPr>
          <w:cantSplit/>
        </w:trPr>
        <w:tc>
          <w:tcPr>
            <w:tcW w:type="dxa" w:w="3312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recommended_action</w:t>
            </w:r>
          </w:p>
        </w:tc>
        <w:tc>
          <w:tcPr>
            <w:tcW w:type="dxa" w:w="6336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Vad användaren konkret bör göra</w:t>
            </w:r>
          </w:p>
        </w:tc>
      </w:tr>
      <w:tr>
        <w:trPr>
          <w:cantSplit/>
        </w:trPr>
        <w:tc>
          <w:tcPr>
            <w:tcW w:type="dxa" w:w="3312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why_now</w:t>
            </w:r>
          </w:p>
        </w:tc>
        <w:tc>
          <w:tcPr>
            <w:tcW w:type="dxa" w:w="6336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Varför detta är relevant nu</w:t>
            </w:r>
          </w:p>
        </w:tc>
      </w:tr>
      <w:tr>
        <w:trPr>
          <w:cantSplit/>
        </w:trPr>
        <w:tc>
          <w:tcPr>
            <w:tcW w:type="dxa" w:w="3312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evidence</w:t>
            </w:r>
          </w:p>
        </w:tc>
        <w:tc>
          <w:tcPr>
            <w:tcW w:type="dxa" w:w="6336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Källor, fakta, inferenser och antaganden</w:t>
            </w:r>
          </w:p>
        </w:tc>
      </w:tr>
      <w:tr>
        <w:trPr>
          <w:cantSplit/>
        </w:trPr>
        <w:tc>
          <w:tcPr>
            <w:tcW w:type="dxa" w:w="3312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expected_impact</w:t>
            </w:r>
          </w:p>
        </w:tc>
        <w:tc>
          <w:tcPr>
            <w:tcW w:type="dxa" w:w="6336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Kvalitativ effekt och vid behov intervall</w:t>
            </w:r>
          </w:p>
        </w:tc>
      </w:tr>
      <w:tr>
        <w:trPr>
          <w:cantSplit/>
        </w:trPr>
        <w:tc>
          <w:tcPr>
            <w:tcW w:type="dxa" w:w="3312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impact / confidence / effort / urgency</w:t>
            </w:r>
          </w:p>
        </w:tc>
        <w:tc>
          <w:tcPr>
            <w:tcW w:type="dxa" w:w="6336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Dimensioner med förklaring</w:t>
            </w:r>
          </w:p>
        </w:tc>
      </w:tr>
      <w:tr>
        <w:trPr>
          <w:cantSplit/>
        </w:trPr>
        <w:tc>
          <w:tcPr>
            <w:tcW w:type="dxa" w:w="3312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dependencies</w:t>
            </w:r>
          </w:p>
        </w:tc>
        <w:tc>
          <w:tcPr>
            <w:tcW w:type="dxa" w:w="6336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Vad som måste vara sant eller klart först</w:t>
            </w:r>
          </w:p>
        </w:tc>
      </w:tr>
      <w:tr>
        <w:trPr>
          <w:cantSplit/>
        </w:trPr>
        <w:tc>
          <w:tcPr>
            <w:tcW w:type="dxa" w:w="3312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risk_if_ignored</w:t>
            </w:r>
          </w:p>
        </w:tc>
        <w:tc>
          <w:tcPr>
            <w:tcW w:type="dxa" w:w="6336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Vad som rimligen kan hända om inget görs</w:t>
            </w:r>
          </w:p>
        </w:tc>
      </w:tr>
      <w:tr>
        <w:trPr>
          <w:cantSplit/>
        </w:trPr>
        <w:tc>
          <w:tcPr>
            <w:tcW w:type="dxa" w:w="3312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alternative</w:t>
            </w:r>
          </w:p>
        </w:tc>
        <w:tc>
          <w:tcPr>
            <w:tcW w:type="dxa" w:w="6336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Minst ett relevant alternativ eller “avvakta”</w:t>
            </w:r>
          </w:p>
        </w:tc>
      </w:tr>
      <w:tr>
        <w:trPr>
          <w:cantSplit/>
        </w:trPr>
        <w:tc>
          <w:tcPr>
            <w:tcW w:type="dxa" w:w="3312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next_step</w:t>
            </w:r>
          </w:p>
        </w:tc>
        <w:tc>
          <w:tcPr>
            <w:tcW w:type="dxa" w:w="6336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Tydlig primär handling</w:t>
            </w:r>
          </w:p>
        </w:tc>
      </w:tr>
      <w:tr>
        <w:trPr>
          <w:cantSplit/>
        </w:trPr>
        <w:tc>
          <w:tcPr>
            <w:tcW w:type="dxa" w:w="3312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approval_level</w:t>
            </w:r>
          </w:p>
        </w:tc>
        <w:tc>
          <w:tcPr>
            <w:tcW w:type="dxa" w:w="6336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Vilken mänsklig kontroll som krävs</w:t>
            </w:r>
          </w:p>
        </w:tc>
      </w:tr>
      <w:tr>
        <w:trPr>
          <w:cantSplit/>
        </w:trPr>
        <w:tc>
          <w:tcPr>
            <w:tcW w:type="dxa" w:w="3312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expiry</w:t>
            </w:r>
          </w:p>
        </w:tc>
        <w:tc>
          <w:tcPr>
            <w:tcW w:type="dxa" w:w="6336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När rekommendationen ska omvärderas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878"/>
            <w:shd w:fill="EDF5F9"/>
            <w:tcMar>
              <w:top w:w="180" w:type="dxa"/>
              <w:start w:w="210" w:type="dxa"/>
              <w:bottom w:w="180" w:type="dxa"/>
              <w:end w:w="210" w:type="dxa"/>
            </w:tcMar>
          </w:tcPr>
          <w:p>
            <w:pPr>
              <w:pStyle w:val="Heading3"/>
              <w:spacing w:before="0" w:after="80"/>
            </w:pPr>
            <w:r>
              <w:t>Språkregel</w:t>
            </w:r>
          </w:p>
          <w:p>
            <w:pPr>
              <w:pStyle w:val="TableText"/>
            </w:pPr>
            <w:r>
              <w:t>Rekommendationen ska skriva “Vi rekommenderar…” när underlaget är tillräckligt. Vid svagare underlag ska den skriva “Ett rimligt test är…” eller “Innan ni agerar bör ni…”.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  <w:keepLines/>
      </w:pPr>
      <w:r>
        <w:t>10. Confidence &amp; Explainability</w:t>
      </w:r>
    </w:p>
    <w:p>
      <w:pPr>
        <w:pStyle w:val="Lead"/>
      </w:pPr>
      <w:r>
        <w:t>Confidence är en bedömning av rekommendationens underlag - inte sannolikheten att ett visst ekonomiskt resultat inträffar.</w:t>
      </w:r>
    </w:p>
    <w:p>
      <w:pPr>
        <w:pStyle w:val="Heading2"/>
        <w:keepNext/>
        <w:keepLines/>
      </w:pPr>
      <w:r>
        <w:t>10.1 Confidence-komponenter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9DCD6"/>
          <w:left w:val="single" w:sz="5" w:color="C9DCD6"/>
          <w:bottom w:val="single" w:sz="5" w:color="C9DCD6"/>
          <w:right w:val="single" w:sz="5" w:color="C9DCD6"/>
          <w:insideH w:val="single" w:sz="5" w:color="C9DCD6"/>
          <w:insideV w:val="single" w:sz="5" w:color="C9DCD6"/>
        </w:tblBorders>
      </w:tblPr>
      <w:tblGrid>
        <w:gridCol w:w="2664"/>
        <w:gridCol w:w="6984"/>
      </w:tblGrid>
      <w:tr>
        <w:trPr>
          <w:tblHeader w:val="true"/>
        </w:trPr>
        <w:tc>
          <w:tcPr>
            <w:tcW w:type="dxa" w:w="4939"/>
            <w:shd w:fill="0F6B5B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pStyle w:val="TableHeader"/>
            </w:pPr>
            <w:r>
              <w:t>Komponent</w:t>
            </w:r>
          </w:p>
        </w:tc>
        <w:tc>
          <w:tcPr>
            <w:tcW w:type="dxa" w:w="4939"/>
            <w:shd w:fill="0F6B5B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pStyle w:val="TableHeader"/>
            </w:pPr>
            <w:r>
              <w:t>Bedömer</w:t>
            </w:r>
          </w:p>
        </w:tc>
      </w:tr>
      <w:tr>
        <w:trPr>
          <w:cantSplit/>
        </w:trPr>
        <w:tc>
          <w:tcPr>
            <w:tcW w:type="dxa" w:w="2664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Source quality</w:t>
            </w:r>
          </w:p>
        </w:tc>
        <w:tc>
          <w:tcPr>
            <w:tcW w:type="dxa" w:w="6984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Hur betrodda och verifierade källorna är</w:t>
            </w:r>
          </w:p>
        </w:tc>
      </w:tr>
      <w:tr>
        <w:trPr>
          <w:cantSplit/>
        </w:trPr>
        <w:tc>
          <w:tcPr>
            <w:tcW w:type="dxa" w:w="2664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Completeness</w:t>
            </w:r>
          </w:p>
        </w:tc>
        <w:tc>
          <w:tcPr>
            <w:tcW w:type="dxa" w:w="6984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Om kritiska informationsfält finns</w:t>
            </w:r>
          </w:p>
        </w:tc>
      </w:tr>
      <w:tr>
        <w:trPr>
          <w:cantSplit/>
        </w:trPr>
        <w:tc>
          <w:tcPr>
            <w:tcW w:type="dxa" w:w="2664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Recency</w:t>
            </w:r>
          </w:p>
        </w:tc>
        <w:tc>
          <w:tcPr>
            <w:tcW w:type="dxa" w:w="6984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Om tidskänsliga signaler är aktuella</w:t>
            </w:r>
          </w:p>
        </w:tc>
      </w:tr>
      <w:tr>
        <w:trPr>
          <w:cantSplit/>
        </w:trPr>
        <w:tc>
          <w:tcPr>
            <w:tcW w:type="dxa" w:w="2664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Consistency</w:t>
            </w:r>
          </w:p>
        </w:tc>
        <w:tc>
          <w:tcPr>
            <w:tcW w:type="dxa" w:w="6984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Om källor och utfall pekar åt samma håll</w:t>
            </w:r>
          </w:p>
        </w:tc>
      </w:tr>
      <w:tr>
        <w:trPr>
          <w:cantSplit/>
        </w:trPr>
        <w:tc>
          <w:tcPr>
            <w:tcW w:type="dxa" w:w="2664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Sample strength</w:t>
            </w:r>
          </w:p>
        </w:tc>
        <w:tc>
          <w:tcPr>
            <w:tcW w:type="dxa" w:w="6984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Om historiken är tillräcklig för slutsatsen</w:t>
            </w:r>
          </w:p>
        </w:tc>
      </w:tr>
      <w:tr>
        <w:trPr>
          <w:cantSplit/>
        </w:trPr>
        <w:tc>
          <w:tcPr>
            <w:tcW w:type="dxa" w:w="2664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Context match</w:t>
            </w:r>
          </w:p>
        </w:tc>
        <w:tc>
          <w:tcPr>
            <w:tcW w:type="dxa" w:w="6984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Om tidigare evidens är relevant för nuvarande situation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t>10.2 Förklaringslager</w:t>
      </w:r>
    </w:p>
    <w:p>
      <w:pPr>
        <w:pStyle w:val="ListNumber"/>
        <w:spacing w:after="80"/>
      </w:pPr>
      <w:r>
        <w:t>Snabb förklaring: en mening om varför rekommendationen ligger högt.</w:t>
      </w:r>
    </w:p>
    <w:p>
      <w:pPr>
        <w:pStyle w:val="ListNumber"/>
        <w:spacing w:after="80"/>
      </w:pPr>
      <w:r>
        <w:t>Beslutsfaktorer: impact, confidence, effort, urgency och strategisk passform.</w:t>
      </w:r>
    </w:p>
    <w:p>
      <w:pPr>
        <w:pStyle w:val="ListNumber"/>
        <w:spacing w:after="80"/>
      </w:pPr>
      <w:r>
        <w:t>Underlag: källor, datum, mätvärden och relevanta Company Brain-objekt.</w:t>
      </w:r>
    </w:p>
    <w:p>
      <w:pPr>
        <w:pStyle w:val="ListNumber"/>
        <w:spacing w:after="80"/>
      </w:pPr>
      <w:r>
        <w:t>Antaganden och konflikter: vad som inte är verifierat eller entydigt.</w:t>
      </w:r>
    </w:p>
    <w:p>
      <w:pPr>
        <w:pStyle w:val="ListNumber"/>
        <w:spacing w:after="80"/>
      </w:pPr>
      <w:r>
        <w:t>Alternativ: vad motorn övervägde men inte prioriterade.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878"/>
            <w:shd w:fill="EAF4F1"/>
            <w:tcMar>
              <w:top w:w="180" w:type="dxa"/>
              <w:start w:w="210" w:type="dxa"/>
              <w:bottom w:w="180" w:type="dxa"/>
              <w:end w:w="210" w:type="dxa"/>
            </w:tcMar>
          </w:tcPr>
          <w:p>
            <w:pPr>
              <w:pStyle w:val="Heading3"/>
              <w:spacing w:before="0" w:after="80"/>
            </w:pPr>
            <w:r>
              <w:t>Ingen svart låda</w:t>
            </w:r>
          </w:p>
          <w:p>
            <w:pPr>
              <w:pStyle w:val="TableText"/>
            </w:pPr>
            <w:r>
              <w:t>Användaren ska kunna förstå beslutets huvudsakliga logik utan att läsa en intern prompt eller modellens privata resonemang.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  <w:keepLines/>
      </w:pPr>
      <w:r>
        <w:t>11. Beslutslägen och mänsklig kontroll</w:t>
      </w:r>
    </w:p>
    <w:p>
      <w:r>
        <w:t>Motorn ska uttryckligen skilja mellan rekommendation, förberedelse och exekvering.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9DCD6"/>
          <w:left w:val="single" w:sz="5" w:color="C9DCD6"/>
          <w:bottom w:val="single" w:sz="5" w:color="C9DCD6"/>
          <w:right w:val="single" w:sz="5" w:color="C9DCD6"/>
          <w:insideH w:val="single" w:sz="5" w:color="C9DCD6"/>
          <w:insideV w:val="single" w:sz="5" w:color="C9DCD6"/>
        </w:tblBorders>
      </w:tblPr>
      <w:tblGrid>
        <w:gridCol w:w="2016"/>
        <w:gridCol w:w="5328"/>
        <w:gridCol w:w="2304"/>
      </w:tblGrid>
      <w:tr>
        <w:trPr>
          <w:tblHeader w:val="true"/>
        </w:trPr>
        <w:tc>
          <w:tcPr>
            <w:tcW w:type="dxa" w:w="3293"/>
            <w:shd w:fill="0F6B5B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pStyle w:val="TableHeader"/>
            </w:pPr>
            <w:r>
              <w:t>Läge</w:t>
            </w:r>
          </w:p>
        </w:tc>
        <w:tc>
          <w:tcPr>
            <w:tcW w:type="dxa" w:w="3293"/>
            <w:shd w:fill="0F6B5B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pStyle w:val="TableHeader"/>
            </w:pPr>
            <w:r>
              <w:t>Tillåtet beteende</w:t>
            </w:r>
          </w:p>
        </w:tc>
        <w:tc>
          <w:tcPr>
            <w:tcW w:type="dxa" w:w="3293"/>
            <w:shd w:fill="0F6B5B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pStyle w:val="TableHeader"/>
            </w:pPr>
            <w:r>
              <w:t>Godkännande</w:t>
            </w:r>
          </w:p>
        </w:tc>
      </w:tr>
      <w:tr>
        <w:trPr>
          <w:cantSplit/>
        </w:trPr>
        <w:tc>
          <w:tcPr>
            <w:tcW w:type="dxa" w:w="2016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Advisory</w:t>
            </w:r>
          </w:p>
        </w:tc>
        <w:tc>
          <w:tcPr>
            <w:tcW w:type="dxa" w:w="5328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Analysera, prioritera och rekommendera</w:t>
            </w:r>
          </w:p>
        </w:tc>
        <w:tc>
          <w:tcPr>
            <w:tcW w:type="dxa" w:w="2304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Inget för att visa förslag</w:t>
            </w:r>
          </w:p>
        </w:tc>
      </w:tr>
      <w:tr>
        <w:trPr>
          <w:cantSplit/>
        </w:trPr>
        <w:tc>
          <w:tcPr>
            <w:tcW w:type="dxa" w:w="2016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Prepare</w:t>
            </w:r>
          </w:p>
        </w:tc>
        <w:tc>
          <w:tcPr>
            <w:tcW w:type="dxa" w:w="5328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Skapa utkast, brief eller plan</w:t>
            </w:r>
          </w:p>
        </w:tc>
        <w:tc>
          <w:tcPr>
            <w:tcW w:type="dxa" w:w="2304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Godkännande innan extern användning</w:t>
            </w:r>
          </w:p>
        </w:tc>
      </w:tr>
      <w:tr>
        <w:trPr>
          <w:cantSplit/>
        </w:trPr>
        <w:tc>
          <w:tcPr>
            <w:tcW w:type="dxa" w:w="2016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Execute controlled</w:t>
            </w:r>
          </w:p>
        </w:tc>
        <w:tc>
          <w:tcPr>
            <w:tcW w:type="dxa" w:w="5328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Utföra fördefinierad låg-riskhandling</w:t>
            </w:r>
          </w:p>
        </w:tc>
        <w:tc>
          <w:tcPr>
            <w:tcW w:type="dxa" w:w="2304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Uttrycklig behörighet och loggning</w:t>
            </w:r>
          </w:p>
        </w:tc>
      </w:tr>
      <w:tr>
        <w:trPr>
          <w:cantSplit/>
        </w:trPr>
        <w:tc>
          <w:tcPr>
            <w:tcW w:type="dxa" w:w="2016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Blocked</w:t>
            </w:r>
          </w:p>
        </w:tc>
        <w:tc>
          <w:tcPr>
            <w:tcW w:type="dxa" w:w="5328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Vägra eller pausa på grund av risk, data eller behörighet</w:t>
            </w:r>
          </w:p>
        </w:tc>
        <w:tc>
          <w:tcPr>
            <w:tcW w:type="dxa" w:w="2304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Kräver åtgärd av användare/admin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t>11.1 Tillåtna användarbeslut</w:t>
      </w:r>
    </w:p>
    <w:p>
      <w:pPr>
        <w:pStyle w:val="ListBullet"/>
        <w:spacing w:after="60"/>
        <w:ind w:left="346" w:hanging="202"/>
      </w:pPr>
      <w:r>
        <w:t>Acceptera som rekommenderad.</w:t>
      </w:r>
    </w:p>
    <w:p>
      <w:pPr>
        <w:pStyle w:val="ListBullet"/>
        <w:spacing w:after="60"/>
        <w:ind w:left="346" w:hanging="202"/>
      </w:pPr>
      <w:r>
        <w:t>Acceptera med ändring.</w:t>
      </w:r>
    </w:p>
    <w:p>
      <w:pPr>
        <w:pStyle w:val="ListBullet"/>
        <w:spacing w:after="60"/>
        <w:ind w:left="346" w:hanging="202"/>
      </w:pPr>
      <w:r>
        <w:t>Avvisa med eller utan orsak.</w:t>
      </w:r>
    </w:p>
    <w:p>
      <w:pPr>
        <w:pStyle w:val="ListBullet"/>
        <w:spacing w:after="60"/>
        <w:ind w:left="346" w:hanging="202"/>
      </w:pPr>
      <w:r>
        <w:t>Senarelägg till ett datum eller en signal.</w:t>
      </w:r>
    </w:p>
    <w:p>
      <w:pPr>
        <w:pStyle w:val="ListBullet"/>
        <w:spacing w:after="60"/>
        <w:ind w:left="346" w:hanging="202"/>
      </w:pPr>
      <w:r>
        <w:t>Begär mer underlag.</w:t>
      </w:r>
    </w:p>
    <w:p>
      <w:pPr>
        <w:pStyle w:val="ListBullet"/>
        <w:spacing w:after="60"/>
        <w:ind w:left="346" w:hanging="202"/>
      </w:pPr>
      <w:r>
        <w:t>Markera att målet eller Company Brain är fel.</w:t>
      </w:r>
    </w:p>
    <w:p>
      <w:pPr>
        <w:pStyle w:val="ListBullet"/>
        <w:spacing w:after="60"/>
        <w:ind w:left="346" w:hanging="202"/>
      </w:pPr>
      <w:r>
        <w:t>Delegerea till specialist efter godkännande.</w:t>
      </w:r>
    </w:p>
    <w:p>
      <w:pPr>
        <w:pStyle w:val="Heading2"/>
        <w:keepNext/>
        <w:keepLines/>
      </w:pPr>
      <w:r>
        <w:t>11.2 Högriskhandlingar</w:t>
      </w:r>
    </w:p>
    <w:p>
      <w:r>
        <w:t>Publicering, budgetändringar, massutskick, kundkontakt, juridiska påståenden och permanenta datamodifieringar kräver alltid explicit behörighet och revisionsspår.</w:t>
      </w:r>
    </w:p>
    <w:p>
      <w:r>
        <w:br w:type="page"/>
      </w:r>
    </w:p>
    <w:p>
      <w:pPr>
        <w:pStyle w:val="Heading1"/>
        <w:keepNext/>
        <w:keepLines/>
      </w:pPr>
      <w:r>
        <w:t>12. Decision Memory</w:t>
      </w:r>
    </w:p>
    <w:p>
      <w:pPr>
        <w:pStyle w:val="Lead"/>
      </w:pPr>
      <w:r>
        <w:t>Decision Memory är ett separat lager som sparar beslutshistorik och utfall. Det beskriver hur företaget har valt och vad som hände - inte vad företaget är.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878"/>
            <w:shd w:fill="EAF4F1"/>
            <w:tcMar>
              <w:top w:w="180" w:type="dxa"/>
              <w:start w:w="210" w:type="dxa"/>
              <w:bottom w:w="180" w:type="dxa"/>
              <w:end w:w="210" w:type="dxa"/>
            </w:tcMar>
          </w:tcPr>
          <w:p>
            <w:pPr>
              <w:pStyle w:val="Heading3"/>
              <w:spacing w:before="0" w:after="80"/>
            </w:pPr>
            <w:r>
              <w:t>Separation of concerns</w:t>
            </w:r>
          </w:p>
          <w:p>
            <w:pPr>
              <w:pStyle w:val="TableText"/>
            </w:pPr>
            <w:r>
              <w:t>Company Brain = verifierad kunskap om företaget. Decision Memory = rekommendationer, beslut, motiveringar och utfall över tid.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t>12.1 Sparad information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9DCD6"/>
          <w:left w:val="single" w:sz="5" w:color="C9DCD6"/>
          <w:bottom w:val="single" w:sz="5" w:color="C9DCD6"/>
          <w:right w:val="single" w:sz="5" w:color="C9DCD6"/>
          <w:insideH w:val="single" w:sz="5" w:color="C9DCD6"/>
          <w:insideV w:val="single" w:sz="5" w:color="C9DCD6"/>
        </w:tblBorders>
      </w:tblPr>
      <w:tblGrid>
        <w:gridCol w:w="2880"/>
        <w:gridCol w:w="6768"/>
      </w:tblGrid>
      <w:tr>
        <w:trPr>
          <w:tblHeader w:val="true"/>
        </w:trPr>
        <w:tc>
          <w:tcPr>
            <w:tcW w:type="dxa" w:w="4939"/>
            <w:shd w:fill="0F6B5B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pStyle w:val="TableHeader"/>
            </w:pPr>
            <w:r>
              <w:t>Objekt</w:t>
            </w:r>
          </w:p>
        </w:tc>
        <w:tc>
          <w:tcPr>
            <w:tcW w:type="dxa" w:w="4939"/>
            <w:shd w:fill="0F6B5B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pStyle w:val="TableHeader"/>
            </w:pPr>
            <w:r>
              <w:t>Exempel</w:t>
            </w:r>
          </w:p>
        </w:tc>
      </w:tr>
      <w:tr>
        <w:trPr>
          <w:cantSplit/>
        </w:trPr>
        <w:tc>
          <w:tcPr>
            <w:tcW w:type="dxa" w:w="2880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Recommendation snapshot</w:t>
            </w:r>
          </w:p>
        </w:tc>
        <w:tc>
          <w:tcPr>
            <w:tcW w:type="dxa" w:w="6768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Vad som rekommenderades och med vilket underlag</w:t>
            </w:r>
          </w:p>
        </w:tc>
      </w:tr>
      <w:tr>
        <w:trPr>
          <w:cantSplit/>
        </w:trPr>
        <w:tc>
          <w:tcPr>
            <w:tcW w:type="dxa" w:w="2880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User decision</w:t>
            </w:r>
          </w:p>
        </w:tc>
        <w:tc>
          <w:tcPr>
            <w:tcW w:type="dxa" w:w="6768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Accepterad, ändrad, avvisad, senarelagd</w:t>
            </w:r>
          </w:p>
        </w:tc>
      </w:tr>
      <w:tr>
        <w:trPr>
          <w:cantSplit/>
        </w:trPr>
        <w:tc>
          <w:tcPr>
            <w:tcW w:type="dxa" w:w="2880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Decision rationale</w:t>
            </w:r>
          </w:p>
        </w:tc>
        <w:tc>
          <w:tcPr>
            <w:tcW w:type="dxa" w:w="6768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Användarens angivna orsak eller systemnotering</w:t>
            </w:r>
          </w:p>
        </w:tc>
      </w:tr>
      <w:tr>
        <w:trPr>
          <w:cantSplit/>
        </w:trPr>
        <w:tc>
          <w:tcPr>
            <w:tcW w:type="dxa" w:w="2880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Execution record</w:t>
            </w:r>
          </w:p>
        </w:tc>
        <w:tc>
          <w:tcPr>
            <w:tcW w:type="dxa" w:w="6768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Vad som faktiskt genomfördes</w:t>
            </w:r>
          </w:p>
        </w:tc>
      </w:tr>
      <w:tr>
        <w:trPr>
          <w:cantSplit/>
        </w:trPr>
        <w:tc>
          <w:tcPr>
            <w:tcW w:type="dxa" w:w="2880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Outcome</w:t>
            </w:r>
          </w:p>
        </w:tc>
        <w:tc>
          <w:tcPr>
            <w:tcW w:type="dxa" w:w="6768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Mätvärden, kvalitativt utfall och tidsperiod</w:t>
            </w:r>
          </w:p>
        </w:tc>
      </w:tr>
      <w:tr>
        <w:trPr>
          <w:cantSplit/>
        </w:trPr>
        <w:tc>
          <w:tcPr>
            <w:tcW w:type="dxa" w:w="2880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Learning signal</w:t>
            </w:r>
          </w:p>
        </w:tc>
        <w:tc>
          <w:tcPr>
            <w:tcW w:type="dxa" w:w="6768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Vilken hypotes som stärktes eller försvagades</w:t>
            </w:r>
          </w:p>
        </w:tc>
      </w:tr>
      <w:tr>
        <w:trPr>
          <w:cantSplit/>
        </w:trPr>
        <w:tc>
          <w:tcPr>
            <w:tcW w:type="dxa" w:w="2880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Model/version context</w:t>
            </w:r>
          </w:p>
        </w:tc>
        <w:tc>
          <w:tcPr>
            <w:tcW w:type="dxa" w:w="6768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Vilken regel- och modellversion som användes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t>12.2 Förbjuden sammanblandning</w:t>
      </w:r>
    </w:p>
    <w:p>
      <w:pPr>
        <w:pStyle w:val="ListBullet"/>
        <w:spacing w:after="60"/>
        <w:ind w:left="346" w:hanging="202"/>
      </w:pPr>
      <w:r>
        <w:t>Ett tidigare accepterat beslut blir inte automatiskt ett verifierat företagsfaktum.</w:t>
      </w:r>
    </w:p>
    <w:p>
      <w:pPr>
        <w:pStyle w:val="ListBullet"/>
        <w:spacing w:after="60"/>
        <w:ind w:left="346" w:hanging="202"/>
      </w:pPr>
      <w:r>
        <w:t>En användares avvisning bevisar inte att rekommendationen var fel.</w:t>
      </w:r>
    </w:p>
    <w:p>
      <w:pPr>
        <w:pStyle w:val="ListBullet"/>
        <w:spacing w:after="60"/>
        <w:ind w:left="346" w:hanging="202"/>
      </w:pPr>
      <w:r>
        <w:t>Ett positivt utfall från ett enda test blir inte en generell regel.</w:t>
      </w:r>
    </w:p>
    <w:p>
      <w:pPr>
        <w:pStyle w:val="ListBullet"/>
        <w:spacing w:after="60"/>
        <w:ind w:left="346" w:hanging="202"/>
      </w:pPr>
      <w:r>
        <w:t>Decision Memory får inte tyst ändra Company Brain.</w:t>
      </w:r>
    </w:p>
    <w:p>
      <w:r>
        <w:br w:type="page"/>
      </w:r>
    </w:p>
    <w:p>
      <w:pPr>
        <w:pStyle w:val="Heading1"/>
        <w:keepNext/>
        <w:keepLines/>
      </w:pPr>
      <w:r>
        <w:t>13. Learning Loop</w:t>
      </w:r>
    </w:p>
    <w:p>
      <w:r>
        <w:t>Lärandet ska vara kontrollerat, gradvis och granskningsbart. Systemet lär sig både från beslut och från faktiska utfall.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9DCD6"/>
          <w:left w:val="single" w:sz="5" w:color="C9DCD6"/>
          <w:bottom w:val="single" w:sz="5" w:color="C9DCD6"/>
          <w:right w:val="single" w:sz="5" w:color="C9DCD6"/>
          <w:insideH w:val="single" w:sz="5" w:color="C9DCD6"/>
          <w:insideV w:val="single" w:sz="5" w:color="C9DCD6"/>
        </w:tblBorders>
      </w:tblPr>
      <w:tblGrid>
        <w:gridCol w:w="1872"/>
        <w:gridCol w:w="3096"/>
        <w:gridCol w:w="4680"/>
      </w:tblGrid>
      <w:tr>
        <w:trPr>
          <w:tblHeader w:val="true"/>
        </w:trPr>
        <w:tc>
          <w:tcPr>
            <w:tcW w:type="dxa" w:w="3293"/>
            <w:shd w:fill="0F6B5B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pStyle w:val="TableHeader"/>
            </w:pPr>
            <w:r>
              <w:t>Händelse</w:t>
            </w:r>
          </w:p>
        </w:tc>
        <w:tc>
          <w:tcPr>
            <w:tcW w:type="dxa" w:w="3293"/>
            <w:shd w:fill="0F6B5B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pStyle w:val="TableHeader"/>
            </w:pPr>
            <w:r>
              <w:t>Direkt effekt</w:t>
            </w:r>
          </w:p>
        </w:tc>
        <w:tc>
          <w:tcPr>
            <w:tcW w:type="dxa" w:w="3293"/>
            <w:shd w:fill="0F6B5B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pStyle w:val="TableHeader"/>
            </w:pPr>
            <w:r>
              <w:t>Möjligt långsiktigt lärande</w:t>
            </w:r>
          </w:p>
        </w:tc>
      </w:tr>
      <w:tr>
        <w:trPr>
          <w:cantSplit/>
        </w:trPr>
        <w:tc>
          <w:tcPr>
            <w:tcW w:type="dxa" w:w="1872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Accepterad</w:t>
            </w:r>
          </w:p>
        </w:tc>
        <w:tc>
          <w:tcPr>
            <w:tcW w:type="dxa" w:w="3096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Rekommendationen går vidare</w:t>
            </w:r>
          </w:p>
        </w:tc>
        <w:tc>
          <w:tcPr>
            <w:tcW w:type="dxa" w:w="4680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Ökar inte automatiskt kvalitetsbedömningen</w:t>
            </w:r>
          </w:p>
        </w:tc>
      </w:tr>
      <w:tr>
        <w:trPr>
          <w:cantSplit/>
        </w:trPr>
        <w:tc>
          <w:tcPr>
            <w:tcW w:type="dxa" w:w="1872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Ändrad</w:t>
            </w:r>
          </w:p>
        </w:tc>
        <w:tc>
          <w:tcPr>
            <w:tcW w:type="dxa" w:w="3096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Skillnaden loggas</w:t>
            </w:r>
          </w:p>
        </w:tc>
        <w:tc>
          <w:tcPr>
            <w:tcW w:type="dxa" w:w="4680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Kan visa preferens, begränsning eller saknad kunskap</w:t>
            </w:r>
          </w:p>
        </w:tc>
      </w:tr>
      <w:tr>
        <w:trPr>
          <w:cantSplit/>
        </w:trPr>
        <w:tc>
          <w:tcPr>
            <w:tcW w:type="dxa" w:w="1872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Avvisad</w:t>
            </w:r>
          </w:p>
        </w:tc>
        <w:tc>
          <w:tcPr>
            <w:tcW w:type="dxa" w:w="3096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Orsak efterfrågas frivilligt</w:t>
            </w:r>
          </w:p>
        </w:tc>
        <w:tc>
          <w:tcPr>
            <w:tcW w:type="dxa" w:w="4680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Kan minska liknande förslag om mönstret är stabilt</w:t>
            </w:r>
          </w:p>
        </w:tc>
      </w:tr>
      <w:tr>
        <w:trPr>
          <w:cantSplit/>
        </w:trPr>
        <w:tc>
          <w:tcPr>
            <w:tcW w:type="dxa" w:w="1872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Ignorerad</w:t>
            </w:r>
          </w:p>
        </w:tc>
        <w:tc>
          <w:tcPr>
            <w:tcW w:type="dxa" w:w="3096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Ingen omedelbar slutsats</w:t>
            </w:r>
          </w:p>
        </w:tc>
        <w:tc>
          <w:tcPr>
            <w:tcW w:type="dxa" w:w="4680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Upprepad ignorering kan signalera låg relevans eller dålig timing</w:t>
            </w:r>
          </w:p>
        </w:tc>
      </w:tr>
      <w:tr>
        <w:trPr>
          <w:cantSplit/>
        </w:trPr>
        <w:tc>
          <w:tcPr>
            <w:tcW w:type="dxa" w:w="1872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Positivt utfall</w:t>
            </w:r>
          </w:p>
        </w:tc>
        <w:tc>
          <w:tcPr>
            <w:tcW w:type="dxa" w:w="3096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Hypotesen stärks inom samma kontext</w:t>
            </w:r>
          </w:p>
        </w:tc>
        <w:tc>
          <w:tcPr>
            <w:tcW w:type="dxa" w:w="4680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Påverkar framtida confidence efter tillräcklig evidens</w:t>
            </w:r>
          </w:p>
        </w:tc>
      </w:tr>
      <w:tr>
        <w:trPr>
          <w:cantSplit/>
        </w:trPr>
        <w:tc>
          <w:tcPr>
            <w:tcW w:type="dxa" w:w="1872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Negativt utfall</w:t>
            </w:r>
          </w:p>
        </w:tc>
        <w:tc>
          <w:tcPr>
            <w:tcW w:type="dxa" w:w="3096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Diagnos av orsak krävs</w:t>
            </w:r>
          </w:p>
        </w:tc>
        <w:tc>
          <w:tcPr>
            <w:tcW w:type="dxa" w:w="4680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Påverkar inte alla liknande initiativ utan kontextanalys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t>13.1 Anti-overfitting-regler</w:t>
      </w:r>
    </w:p>
    <w:p>
      <w:pPr>
        <w:pStyle w:val="ListBullet"/>
        <w:spacing w:after="60"/>
        <w:ind w:left="346" w:hanging="202"/>
      </w:pPr>
      <w:r>
        <w:t>Lär inte om modellen från ett enstaka utfall.</w:t>
      </w:r>
    </w:p>
    <w:p>
      <w:pPr>
        <w:pStyle w:val="ListBullet"/>
        <w:spacing w:after="60"/>
        <w:ind w:left="346" w:hanging="202"/>
      </w:pPr>
      <w:r>
        <w:t>Skilj kanal, budskap, erbjudande, målgrupp och timing åt.</w:t>
      </w:r>
    </w:p>
    <w:p>
      <w:pPr>
        <w:pStyle w:val="ListBullet"/>
        <w:spacing w:after="60"/>
        <w:ind w:left="346" w:hanging="202"/>
      </w:pPr>
      <w:r>
        <w:t>Vikta nyare relevanta utfall högre men behåll historik.</w:t>
      </w:r>
    </w:p>
    <w:p>
      <w:pPr>
        <w:pStyle w:val="ListBullet"/>
        <w:spacing w:after="60"/>
        <w:ind w:left="346" w:hanging="202"/>
      </w:pPr>
      <w:r>
        <w:t>Kräv mänsklig verifiering innan lärande blir Company Brain-fakta.</w:t>
      </w:r>
    </w:p>
    <w:p>
      <w:pPr>
        <w:pStyle w:val="ListBullet"/>
        <w:spacing w:after="60"/>
        <w:ind w:left="346" w:hanging="202"/>
      </w:pPr>
      <w:r>
        <w:t>Spara modell- och regelversion för reproducerbarhet.</w:t>
      </w:r>
    </w:p>
    <w:p>
      <w:r>
        <w:br w:type="page"/>
      </w:r>
    </w:p>
    <w:p>
      <w:pPr>
        <w:pStyle w:val="Heading1"/>
        <w:keepNext/>
        <w:keepLines/>
      </w:pPr>
      <w:r>
        <w:t>14. Säkerhet och etiska skyddsräcken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9DCD6"/>
          <w:left w:val="single" w:sz="5" w:color="C9DCD6"/>
          <w:bottom w:val="single" w:sz="5" w:color="C9DCD6"/>
          <w:right w:val="single" w:sz="5" w:color="C9DCD6"/>
          <w:insideH w:val="single" w:sz="5" w:color="C9DCD6"/>
          <w:insideV w:val="single" w:sz="5" w:color="C9DCD6"/>
        </w:tblBorders>
      </w:tblPr>
      <w:tblGrid>
        <w:gridCol w:w="2520"/>
        <w:gridCol w:w="7128"/>
      </w:tblGrid>
      <w:tr>
        <w:trPr>
          <w:tblHeader w:val="true"/>
        </w:trPr>
        <w:tc>
          <w:tcPr>
            <w:tcW w:type="dxa" w:w="4939"/>
            <w:shd w:fill="0F6B5B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pStyle w:val="TableHeader"/>
            </w:pPr>
            <w:r>
              <w:t>Skyddsräcke</w:t>
            </w:r>
          </w:p>
        </w:tc>
        <w:tc>
          <w:tcPr>
            <w:tcW w:type="dxa" w:w="4939"/>
            <w:shd w:fill="0F6B5B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pStyle w:val="TableHeader"/>
            </w:pPr>
            <w:r>
              <w:t>Krav</w:t>
            </w:r>
          </w:p>
        </w:tc>
      </w:tr>
      <w:tr>
        <w:trPr>
          <w:cantSplit/>
        </w:trPr>
        <w:tc>
          <w:tcPr>
            <w:tcW w:type="dxa" w:w="2520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Faktaintegritet</w:t>
            </w:r>
          </w:p>
        </w:tc>
        <w:tc>
          <w:tcPr>
            <w:tcW w:type="dxa" w:w="7128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Påståenden får inte presenteras som fakta utan källa eller verifiering</w:t>
            </w:r>
          </w:p>
        </w:tc>
      </w:tr>
      <w:tr>
        <w:trPr>
          <w:cantSplit/>
        </w:trPr>
        <w:tc>
          <w:tcPr>
            <w:tcW w:type="dxa" w:w="2520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Osäkerhet</w:t>
            </w:r>
          </w:p>
        </w:tc>
        <w:tc>
          <w:tcPr>
            <w:tcW w:type="dxa" w:w="7128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Osäkerhet ska uttryckas när den påverkar beslutet</w:t>
            </w:r>
          </w:p>
        </w:tc>
      </w:tr>
      <w:tr>
        <w:trPr>
          <w:cantSplit/>
        </w:trPr>
        <w:tc>
          <w:tcPr>
            <w:tcW w:type="dxa" w:w="2520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Integritet</w:t>
            </w:r>
          </w:p>
        </w:tc>
        <w:tc>
          <w:tcPr>
            <w:tcW w:type="dxa" w:w="7128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Endast nödvändiga person- och kunddata får användas</w:t>
            </w:r>
          </w:p>
        </w:tc>
      </w:tr>
      <w:tr>
        <w:trPr>
          <w:cantSplit/>
        </w:trPr>
        <w:tc>
          <w:tcPr>
            <w:tcW w:type="dxa" w:w="2520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Samtycke och behörighet</w:t>
            </w:r>
          </w:p>
        </w:tc>
        <w:tc>
          <w:tcPr>
            <w:tcW w:type="dxa" w:w="7128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Externa handlingar kräver rätt behörighet</w:t>
            </w:r>
          </w:p>
        </w:tc>
      </w:tr>
      <w:tr>
        <w:trPr>
          <w:cantSplit/>
        </w:trPr>
        <w:tc>
          <w:tcPr>
            <w:tcW w:type="dxa" w:w="2520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Icke-manipulation</w:t>
            </w:r>
          </w:p>
        </w:tc>
        <w:tc>
          <w:tcPr>
            <w:tcW w:type="dxa" w:w="7128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Ingen vilseledande knapphet, falska löften eller mörka mönster</w:t>
            </w:r>
          </w:p>
        </w:tc>
      </w:tr>
      <w:tr>
        <w:trPr>
          <w:cantSplit/>
        </w:trPr>
        <w:tc>
          <w:tcPr>
            <w:tcW w:type="dxa" w:w="2520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Antispam</w:t>
            </w:r>
          </w:p>
        </w:tc>
        <w:tc>
          <w:tcPr>
            <w:tcW w:type="dxa" w:w="7128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Rekommendera relevans, frekvenskontroll och laglig grund</w:t>
            </w:r>
          </w:p>
        </w:tc>
      </w:tr>
      <w:tr>
        <w:trPr>
          <w:cantSplit/>
        </w:trPr>
        <w:tc>
          <w:tcPr>
            <w:tcW w:type="dxa" w:w="2520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Varumärkessäkerhet</w:t>
            </w:r>
          </w:p>
        </w:tc>
        <w:tc>
          <w:tcPr>
            <w:tcW w:type="dxa" w:w="7128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Följ tonalitet, förbjudna påståenden och känsliga ämnen</w:t>
            </w:r>
          </w:p>
        </w:tc>
      </w:tr>
      <w:tr>
        <w:trPr>
          <w:cantSplit/>
        </w:trPr>
        <w:tc>
          <w:tcPr>
            <w:tcW w:type="dxa" w:w="2520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Juridisk försiktighet</w:t>
            </w:r>
          </w:p>
        </w:tc>
        <w:tc>
          <w:tcPr>
            <w:tcW w:type="dxa" w:w="7128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Markera när juridisk, medicinsk eller finansiell granskning behövs</w:t>
            </w:r>
          </w:p>
        </w:tc>
      </w:tr>
      <w:tr>
        <w:trPr>
          <w:cantSplit/>
        </w:trPr>
        <w:tc>
          <w:tcPr>
            <w:tcW w:type="dxa" w:w="2520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Reversibilitet</w:t>
            </w:r>
          </w:p>
        </w:tc>
        <w:tc>
          <w:tcPr>
            <w:tcW w:type="dxa" w:w="7128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Låg-risk och reversibla steg prioriteras vid osäkerhet</w:t>
            </w:r>
          </w:p>
        </w:tc>
      </w:tr>
      <w:tr>
        <w:trPr>
          <w:cantSplit/>
        </w:trPr>
        <w:tc>
          <w:tcPr>
            <w:tcW w:type="dxa" w:w="2520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Audit trail</w:t>
            </w:r>
          </w:p>
        </w:tc>
        <w:tc>
          <w:tcPr>
            <w:tcW w:type="dxa" w:w="7128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Väsentliga beslut, källor och godkännanden loggas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878"/>
            <w:shd w:fill="FCEDEA"/>
            <w:tcMar>
              <w:top w:w="180" w:type="dxa"/>
              <w:start w:w="210" w:type="dxa"/>
              <w:bottom w:w="180" w:type="dxa"/>
              <w:end w:w="210" w:type="dxa"/>
            </w:tcMar>
          </w:tcPr>
          <w:p>
            <w:pPr>
              <w:pStyle w:val="Heading3"/>
              <w:spacing w:before="0" w:after="80"/>
            </w:pPr>
            <w:r>
              <w:t>Vägran är en produktfunktion</w:t>
            </w:r>
          </w:p>
          <w:p>
            <w:pPr>
              <w:pStyle w:val="TableText"/>
            </w:pPr>
            <w:r>
              <w:t>När en begäran strider mot fakta, behörighet, varumärke eller lagkrav ska motorn förklara varför och föreslå ett säkrare alternativ.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  <w:keepLines/>
      </w:pPr>
      <w:r>
        <w:t>15. Scenarioexempel</w:t>
      </w:r>
    </w:p>
    <w:p>
      <w:pPr>
        <w:pStyle w:val="Heading2"/>
        <w:keepNext/>
        <w:keepLines/>
      </w:pPr>
      <w:r>
        <w:t>Scenario A - Bilverkstad med enkelt återkommande behov</w:t>
      </w:r>
    </w:p>
    <w:p>
      <w:r>
        <w:t>Fakta: lokal verkstad, verifierad adress, service från 3 490 kr, begränsad tid för marknadsarbete. Antagande: ledig kapacitet kommande sex veckor.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878"/>
            <w:shd w:fill="F5FAF8"/>
            <w:tcMar>
              <w:top w:w="180" w:type="dxa"/>
              <w:start w:w="210" w:type="dxa"/>
              <w:bottom w:w="180" w:type="dxa"/>
              <w:end w:w="210" w:type="dxa"/>
            </w:tcMar>
          </w:tcPr>
          <w:p>
            <w:pPr>
              <w:pStyle w:val="Heading3"/>
              <w:spacing w:before="0" w:after="80"/>
            </w:pPr>
            <w:r>
              <w:t>Rekommendation</w:t>
            </w:r>
          </w:p>
          <w:p>
            <w:pPr>
              <w:pStyle w:val="TableText"/>
            </w:pPr>
            <w:r>
              <w:t>Kör en sexveckors lokal servicekampanj med tre budskapsvariationer. Börja först efter att kapaciteten har verifierats. Impact: Medel. Confidence: Medel. Effort: Låg. Urgency: Medel.</w:t>
            </w:r>
          </w:p>
        </w:tc>
      </w:tr>
    </w:tbl>
    <w:p>
      <w:pPr>
        <w:spacing w:after="20"/>
      </w:pPr>
    </w:p>
    <w:p>
      <w:r>
        <w:t>Varför: erbjudandet är konkret och enkelt att förstå. Motorn avråder från daglig ny produktion och prioriterar ett kontrollerat återanvändningsupplägg.</w:t>
      </w:r>
    </w:p>
    <w:p>
      <w:pPr>
        <w:pStyle w:val="Heading2"/>
        <w:keepNext/>
        <w:keepLines/>
      </w:pPr>
      <w:r>
        <w:t>Scenario B - Högmarginalprodukt inför säsong</w:t>
      </w:r>
    </w:p>
    <w:p>
      <w:r>
        <w:t>Fakta: produkten har hög marginal, tidigare kampanj gav bättre konvertering än normalnivån och säsongen börjar om fyra veckor.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878"/>
            <w:shd w:fill="F5FAF8"/>
            <w:tcMar>
              <w:top w:w="180" w:type="dxa"/>
              <w:start w:w="210" w:type="dxa"/>
              <w:bottom w:w="180" w:type="dxa"/>
              <w:end w:w="210" w:type="dxa"/>
            </w:tcMar>
          </w:tcPr>
          <w:p>
            <w:pPr>
              <w:pStyle w:val="Heading3"/>
              <w:spacing w:before="0" w:after="80"/>
            </w:pPr>
            <w:r>
              <w:t>Rekommendation</w:t>
            </w:r>
          </w:p>
          <w:p>
            <w:pPr>
              <w:pStyle w:val="TableText"/>
            </w:pPr>
            <w:r>
              <w:t>Prioritera kampanjförberedelse nu, återanvänd vinnande erbjudandeprincip och testa en ny kreativ vinkel. Impact: Hög. Confidence: Hög. Effort: Medel. Urgency: Hög.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t>Scenario C - Användaren vill lansera utan tydligt erbjudande</w:t>
      </w:r>
    </w:p>
    <w:p>
      <w:r>
        <w:t>Fakta: målgruppen är känd men pris, leverans och värdeerbjudande är motsägelsefulla i Company Brain.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878"/>
            <w:shd w:fill="FFF4DF"/>
            <w:tcMar>
              <w:top w:w="180" w:type="dxa"/>
              <w:start w:w="210" w:type="dxa"/>
              <w:bottom w:w="180" w:type="dxa"/>
              <w:end w:w="210" w:type="dxa"/>
            </w:tcMar>
          </w:tcPr>
          <w:p>
            <w:pPr>
              <w:pStyle w:val="Heading3"/>
              <w:spacing w:before="0" w:after="80"/>
            </w:pPr>
            <w:r>
              <w:t>Rekommendation</w:t>
            </w:r>
          </w:p>
          <w:p>
            <w:pPr>
              <w:pStyle w:val="TableText"/>
            </w:pPr>
            <w:r>
              <w:t>Publicera inte kampanjen ännu. Lös tre konflikter i Company Brain och välj ett primärt erbjudande först.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  <w:keepLines/>
      </w:pPr>
      <w:r>
        <w:t>16. Mätning och kvalitet</w:t>
      </w:r>
    </w:p>
    <w:p>
      <w:r>
        <w:t>Kvalitet ska mätas på beslutens nytta, inte på mängden genererat innehåll.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9DCD6"/>
          <w:left w:val="single" w:sz="5" w:color="C9DCD6"/>
          <w:bottom w:val="single" w:sz="5" w:color="C9DCD6"/>
          <w:right w:val="single" w:sz="5" w:color="C9DCD6"/>
          <w:insideH w:val="single" w:sz="5" w:color="C9DCD6"/>
          <w:insideV w:val="single" w:sz="5" w:color="C9DCD6"/>
        </w:tblBorders>
      </w:tblPr>
      <w:tblGrid>
        <w:gridCol w:w="2232"/>
        <w:gridCol w:w="5112"/>
        <w:gridCol w:w="2232"/>
      </w:tblGrid>
      <w:tr>
        <w:trPr>
          <w:tblHeader w:val="true"/>
        </w:trPr>
        <w:tc>
          <w:tcPr>
            <w:tcW w:type="dxa" w:w="3293"/>
            <w:shd w:fill="0F6B5B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pStyle w:val="TableHeader"/>
            </w:pPr>
            <w:r>
              <w:t>Mått</w:t>
            </w:r>
          </w:p>
        </w:tc>
        <w:tc>
          <w:tcPr>
            <w:tcW w:type="dxa" w:w="3293"/>
            <w:shd w:fill="0F6B5B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pStyle w:val="TableHeader"/>
            </w:pPr>
            <w:r>
              <w:t>Definition</w:t>
            </w:r>
          </w:p>
        </w:tc>
        <w:tc>
          <w:tcPr>
            <w:tcW w:type="dxa" w:w="3293"/>
            <w:shd w:fill="0F6B5B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pStyle w:val="TableHeader"/>
            </w:pPr>
            <w:r>
              <w:t>Önskad riktning</w:t>
            </w:r>
          </w:p>
        </w:tc>
      </w:tr>
      <w:tr>
        <w:trPr>
          <w:cantSplit/>
        </w:trPr>
        <w:tc>
          <w:tcPr>
            <w:tcW w:type="dxa" w:w="2232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Recommendation acceptance</w:t>
            </w:r>
          </w:p>
        </w:tc>
        <w:tc>
          <w:tcPr>
            <w:tcW w:type="dxa" w:w="5112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Andel rekommendationer som accepteras eller ändras konstruktivt</w:t>
            </w:r>
          </w:p>
        </w:tc>
        <w:tc>
          <w:tcPr>
            <w:tcW w:type="dxa" w:w="2232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Stabilt upp - inte maximerat</w:t>
            </w:r>
          </w:p>
        </w:tc>
      </w:tr>
      <w:tr>
        <w:trPr>
          <w:cantSplit/>
        </w:trPr>
        <w:tc>
          <w:tcPr>
            <w:tcW w:type="dxa" w:w="2232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Decision time</w:t>
            </w:r>
          </w:p>
        </w:tc>
        <w:tc>
          <w:tcPr>
            <w:tcW w:type="dxa" w:w="5112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Tid från öppnad rekommendation till beslut</w:t>
            </w:r>
          </w:p>
        </w:tc>
        <w:tc>
          <w:tcPr>
            <w:tcW w:type="dxa" w:w="2232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Ned</w:t>
            </w:r>
          </w:p>
        </w:tc>
      </w:tr>
      <w:tr>
        <w:trPr>
          <w:cantSplit/>
        </w:trPr>
        <w:tc>
          <w:tcPr>
            <w:tcW w:type="dxa" w:w="2232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Explainability usage</w:t>
            </w:r>
          </w:p>
        </w:tc>
        <w:tc>
          <w:tcPr>
            <w:tcW w:type="dxa" w:w="5112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Andel som öppnar underlag eller källor</w:t>
            </w:r>
          </w:p>
        </w:tc>
        <w:tc>
          <w:tcPr>
            <w:tcW w:type="dxa" w:w="2232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Tolkning krävs</w:t>
            </w:r>
          </w:p>
        </w:tc>
      </w:tr>
      <w:tr>
        <w:trPr>
          <w:cantSplit/>
        </w:trPr>
        <w:tc>
          <w:tcPr>
            <w:tcW w:type="dxa" w:w="2232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Execution rate</w:t>
            </w:r>
          </w:p>
        </w:tc>
        <w:tc>
          <w:tcPr>
            <w:tcW w:type="dxa" w:w="5112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Andel accepterade initiativ som genomförs</w:t>
            </w:r>
          </w:p>
        </w:tc>
        <w:tc>
          <w:tcPr>
            <w:tcW w:type="dxa" w:w="2232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Upp</w:t>
            </w:r>
          </w:p>
        </w:tc>
      </w:tr>
      <w:tr>
        <w:trPr>
          <w:cantSplit/>
        </w:trPr>
        <w:tc>
          <w:tcPr>
            <w:tcW w:type="dxa" w:w="2232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Outcome coverage</w:t>
            </w:r>
          </w:p>
        </w:tc>
        <w:tc>
          <w:tcPr>
            <w:tcW w:type="dxa" w:w="5112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Andel genomförda initiativ med registrerat utfall</w:t>
            </w:r>
          </w:p>
        </w:tc>
        <w:tc>
          <w:tcPr>
            <w:tcW w:type="dxa" w:w="2232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Upp</w:t>
            </w:r>
          </w:p>
        </w:tc>
      </w:tr>
      <w:tr>
        <w:trPr>
          <w:cantSplit/>
        </w:trPr>
        <w:tc>
          <w:tcPr>
            <w:tcW w:type="dxa" w:w="2232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Value realization</w:t>
            </w:r>
          </w:p>
        </w:tc>
        <w:tc>
          <w:tcPr>
            <w:tcW w:type="dxa" w:w="5112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Andel initiativ som når definierat mål eller lärandemål</w:t>
            </w:r>
          </w:p>
        </w:tc>
        <w:tc>
          <w:tcPr>
            <w:tcW w:type="dxa" w:w="2232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Upp</w:t>
            </w:r>
          </w:p>
        </w:tc>
      </w:tr>
      <w:tr>
        <w:trPr>
          <w:cantSplit/>
        </w:trPr>
        <w:tc>
          <w:tcPr>
            <w:tcW w:type="dxa" w:w="2232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False confidence incidents</w:t>
            </w:r>
          </w:p>
        </w:tc>
        <w:tc>
          <w:tcPr>
            <w:tcW w:type="dxa" w:w="5112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Rekommendationer med hög säkerhet men svagt stöd</w:t>
            </w:r>
          </w:p>
        </w:tc>
        <w:tc>
          <w:tcPr>
            <w:tcW w:type="dxa" w:w="2232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Ned</w:t>
            </w:r>
          </w:p>
        </w:tc>
      </w:tr>
      <w:tr>
        <w:trPr>
          <w:cantSplit/>
        </w:trPr>
        <w:tc>
          <w:tcPr>
            <w:tcW w:type="dxa" w:w="2232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User override quality</w:t>
            </w:r>
          </w:p>
        </w:tc>
        <w:tc>
          <w:tcPr>
            <w:tcW w:type="dxa" w:w="5112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Hur ofta ändringar förbättrar resultat eller korrigerar data</w:t>
            </w:r>
          </w:p>
        </w:tc>
        <w:tc>
          <w:tcPr>
            <w:tcW w:type="dxa" w:w="2232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Lärandesignal</w:t>
            </w:r>
          </w:p>
        </w:tc>
      </w:tr>
      <w:tr>
        <w:trPr>
          <w:cantSplit/>
        </w:trPr>
        <w:tc>
          <w:tcPr>
            <w:tcW w:type="dxa" w:w="2232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Noise rate</w:t>
            </w:r>
          </w:p>
        </w:tc>
        <w:tc>
          <w:tcPr>
            <w:tcW w:type="dxa" w:w="5112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Andel rekommendationer som bedöms irrelevanta</w:t>
            </w:r>
          </w:p>
        </w:tc>
        <w:tc>
          <w:tcPr>
            <w:tcW w:type="dxa" w:w="2232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Ned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t>16.1 Kvalitetsgranskning</w:t>
      </w:r>
    </w:p>
    <w:p>
      <w:pPr>
        <w:pStyle w:val="ListBullet"/>
        <w:spacing w:after="60"/>
        <w:ind w:left="346" w:hanging="202"/>
      </w:pPr>
      <w:r>
        <w:t>Regelbundna blindgranskningar av rekommendationer.</w:t>
      </w:r>
    </w:p>
    <w:p>
      <w:pPr>
        <w:pStyle w:val="ListBullet"/>
        <w:spacing w:after="60"/>
        <w:ind w:left="346" w:hanging="202"/>
      </w:pPr>
      <w:r>
        <w:t>Segmenterad analys per bransch, datamognad och användningsläge.</w:t>
      </w:r>
    </w:p>
    <w:p>
      <w:pPr>
        <w:pStyle w:val="ListBullet"/>
        <w:spacing w:after="60"/>
        <w:ind w:left="346" w:hanging="202"/>
      </w:pPr>
      <w:r>
        <w:t>Särskild uppföljning av högrisk- och låg-confidence-fall.</w:t>
      </w:r>
    </w:p>
    <w:p>
      <w:pPr>
        <w:pStyle w:val="ListBullet"/>
        <w:spacing w:after="60"/>
        <w:ind w:left="346" w:hanging="202"/>
      </w:pPr>
      <w:r>
        <w:t>Manual review av incidenter där källa, antagande eller behörighet hanterats fel.</w:t>
      </w:r>
    </w:p>
    <w:p>
      <w:r>
        <w:br w:type="page"/>
      </w:r>
    </w:p>
    <w:p>
      <w:pPr>
        <w:pStyle w:val="Heading1"/>
        <w:keepNext/>
        <w:keepLines/>
      </w:pPr>
      <w:r>
        <w:t>17. Implementation Contract</w:t>
      </w:r>
    </w:p>
    <w:p>
      <w:r>
        <w:t>Detta kontrakt ska styra utveckling oavsett vald modell, leverantör eller teknisk arkitektur.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9DCD6"/>
          <w:left w:val="single" w:sz="5" w:color="C9DCD6"/>
          <w:bottom w:val="single" w:sz="5" w:color="C9DCD6"/>
          <w:right w:val="single" w:sz="5" w:color="C9DCD6"/>
          <w:insideH w:val="single" w:sz="5" w:color="C9DCD6"/>
          <w:insideV w:val="single" w:sz="5" w:color="C9DCD6"/>
        </w:tblBorders>
      </w:tblPr>
      <w:tblGrid>
        <w:gridCol w:w="2592"/>
        <w:gridCol w:w="7056"/>
      </w:tblGrid>
      <w:tr>
        <w:trPr>
          <w:tblHeader w:val="true"/>
        </w:trPr>
        <w:tc>
          <w:tcPr>
            <w:tcW w:type="dxa" w:w="4939"/>
            <w:shd w:fill="0F6B5B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pStyle w:val="TableHeader"/>
            </w:pPr>
            <w:r>
              <w:t>Kravområde</w:t>
            </w:r>
          </w:p>
        </w:tc>
        <w:tc>
          <w:tcPr>
            <w:tcW w:type="dxa" w:w="4939"/>
            <w:shd w:fill="0F6B5B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pStyle w:val="TableHeader"/>
            </w:pPr>
            <w:r>
              <w:t>Minimum för v1</w:t>
            </w:r>
          </w:p>
        </w:tc>
      </w:tr>
      <w:tr>
        <w:trPr>
          <w:cantSplit/>
        </w:trPr>
        <w:tc>
          <w:tcPr>
            <w:tcW w:type="dxa" w:w="2592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Deterministisk struktur</w:t>
            </w:r>
          </w:p>
        </w:tc>
        <w:tc>
          <w:tcPr>
            <w:tcW w:type="dxa" w:w="7056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Alla rekommendationer valideras mot Recommendation Contract</w:t>
            </w:r>
          </w:p>
        </w:tc>
      </w:tr>
      <w:tr>
        <w:trPr>
          <w:cantSplit/>
        </w:trPr>
        <w:tc>
          <w:tcPr>
            <w:tcW w:type="dxa" w:w="2592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Källspårning</w:t>
            </w:r>
          </w:p>
        </w:tc>
        <w:tc>
          <w:tcPr>
            <w:tcW w:type="dxa" w:w="7056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Varje centralt påstående länkas till källa eller märks som antagande</w:t>
            </w:r>
          </w:p>
        </w:tc>
      </w:tr>
      <w:tr>
        <w:trPr>
          <w:cantSplit/>
        </w:trPr>
        <w:tc>
          <w:tcPr>
            <w:tcW w:type="dxa" w:w="2592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Versionshantering</w:t>
            </w:r>
          </w:p>
        </w:tc>
        <w:tc>
          <w:tcPr>
            <w:tcW w:type="dxa" w:w="7056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Regel-, prompt-, modell- och scoreversion sparas</w:t>
            </w:r>
          </w:p>
        </w:tc>
      </w:tr>
      <w:tr>
        <w:trPr>
          <w:cantSplit/>
        </w:trPr>
        <w:tc>
          <w:tcPr>
            <w:tcW w:type="dxa" w:w="2592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Reproducerbarhet</w:t>
            </w:r>
          </w:p>
        </w:tc>
        <w:tc>
          <w:tcPr>
            <w:tcW w:type="dxa" w:w="7056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Ingångar och beslutssammanfattning kan granskas i efterhand</w:t>
            </w:r>
          </w:p>
        </w:tc>
      </w:tr>
      <w:tr>
        <w:trPr>
          <w:cantSplit/>
        </w:trPr>
        <w:tc>
          <w:tcPr>
            <w:tcW w:type="dxa" w:w="2592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Behörighet</w:t>
            </w:r>
          </w:p>
        </w:tc>
        <w:tc>
          <w:tcPr>
            <w:tcW w:type="dxa" w:w="7056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Separata rättigheter för advisory, prepare och execute</w:t>
            </w:r>
          </w:p>
        </w:tc>
      </w:tr>
      <w:tr>
        <w:trPr>
          <w:cantSplit/>
        </w:trPr>
        <w:tc>
          <w:tcPr>
            <w:tcW w:type="dxa" w:w="2592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Fallback</w:t>
            </w:r>
          </w:p>
        </w:tc>
        <w:tc>
          <w:tcPr>
            <w:tcW w:type="dxa" w:w="7056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Vid modell- eller databrister visas säkert fel- eller avvaktaläge</w:t>
            </w:r>
          </w:p>
        </w:tc>
      </w:tr>
      <w:tr>
        <w:trPr>
          <w:cantSplit/>
        </w:trPr>
        <w:tc>
          <w:tcPr>
            <w:tcW w:type="dxa" w:w="2592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Observability</w:t>
            </w:r>
          </w:p>
        </w:tc>
        <w:tc>
          <w:tcPr>
            <w:tcW w:type="dxa" w:w="7056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Loggar för latens, fel, kostnad, policyhändelser och outputvalidering</w:t>
            </w:r>
          </w:p>
        </w:tc>
      </w:tr>
      <w:tr>
        <w:trPr>
          <w:cantSplit/>
        </w:trPr>
        <w:tc>
          <w:tcPr>
            <w:tcW w:type="dxa" w:w="2592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Evaluation</w:t>
            </w:r>
          </w:p>
        </w:tc>
        <w:tc>
          <w:tcPr>
            <w:tcW w:type="dxa" w:w="7056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Testsvit med representativa scenarier och regressionstester</w:t>
            </w:r>
          </w:p>
        </w:tc>
      </w:tr>
      <w:tr>
        <w:trPr>
          <w:cantSplit/>
        </w:trPr>
        <w:tc>
          <w:tcPr>
            <w:tcW w:type="dxa" w:w="2592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Icke-destruktivitet</w:t>
            </w:r>
          </w:p>
        </w:tc>
        <w:tc>
          <w:tcPr>
            <w:tcW w:type="dxa" w:w="7056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Ingen automatisk överskrivning av verifierad data</w:t>
            </w:r>
          </w:p>
        </w:tc>
      </w:tr>
      <w:tr>
        <w:trPr>
          <w:cantSplit/>
        </w:trPr>
        <w:tc>
          <w:tcPr>
            <w:tcW w:type="dxa" w:w="2592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Human override</w:t>
            </w:r>
          </w:p>
        </w:tc>
        <w:tc>
          <w:tcPr>
            <w:tcW w:type="dxa" w:w="7056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Användaren kan korrigera, avvisa och rapportera problem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t>17.1 Rekommenderade systemobjekt</w:t>
      </w:r>
    </w:p>
    <w:p>
      <w:pPr>
        <w:pStyle w:val="ListBullet"/>
        <w:spacing w:after="60"/>
        <w:ind w:left="346" w:hanging="202"/>
      </w:pPr>
      <w:r>
        <w:t>StrategyContext</w:t>
      </w:r>
    </w:p>
    <w:p>
      <w:pPr>
        <w:pStyle w:val="ListBullet"/>
        <w:spacing w:after="60"/>
        <w:ind w:left="346" w:hanging="202"/>
      </w:pPr>
      <w:r>
        <w:t>EvidenceItem</w:t>
      </w:r>
    </w:p>
    <w:p>
      <w:pPr>
        <w:pStyle w:val="ListBullet"/>
        <w:spacing w:after="60"/>
        <w:ind w:left="346" w:hanging="202"/>
      </w:pPr>
      <w:r>
        <w:t>Opportunity</w:t>
      </w:r>
    </w:p>
    <w:p>
      <w:pPr>
        <w:pStyle w:val="ListBullet"/>
        <w:spacing w:after="60"/>
        <w:ind w:left="346" w:hanging="202"/>
      </w:pPr>
      <w:r>
        <w:t>Risk</w:t>
      </w:r>
    </w:p>
    <w:p>
      <w:pPr>
        <w:pStyle w:val="ListBullet"/>
        <w:spacing w:after="60"/>
        <w:ind w:left="346" w:hanging="202"/>
      </w:pPr>
      <w:r>
        <w:t>Recommendation</w:t>
      </w:r>
    </w:p>
    <w:p>
      <w:pPr>
        <w:pStyle w:val="ListBullet"/>
        <w:spacing w:after="60"/>
        <w:ind w:left="346" w:hanging="202"/>
      </w:pPr>
      <w:r>
        <w:t>Decision</w:t>
      </w:r>
    </w:p>
    <w:p>
      <w:pPr>
        <w:pStyle w:val="ListBullet"/>
        <w:spacing w:after="60"/>
        <w:ind w:left="346" w:hanging="202"/>
      </w:pPr>
      <w:r>
        <w:t>ExecutionRecord</w:t>
      </w:r>
    </w:p>
    <w:p>
      <w:pPr>
        <w:pStyle w:val="ListBullet"/>
        <w:spacing w:after="60"/>
        <w:ind w:left="346" w:hanging="202"/>
      </w:pPr>
      <w:r>
        <w:t>Outcome</w:t>
      </w:r>
    </w:p>
    <w:p>
      <w:pPr>
        <w:pStyle w:val="ListBullet"/>
        <w:spacing w:after="60"/>
        <w:ind w:left="346" w:hanging="202"/>
      </w:pPr>
      <w:r>
        <w:t>LearningSignal</w:t>
      </w:r>
    </w:p>
    <w:p>
      <w:pPr>
        <w:pStyle w:val="ListBullet"/>
        <w:spacing w:after="60"/>
        <w:ind w:left="346" w:hanging="202"/>
      </w:pPr>
      <w:r>
        <w:t>DecisionMemoryEntry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878"/>
            <w:shd w:fill="EDF5F9"/>
            <w:tcMar>
              <w:top w:w="180" w:type="dxa"/>
              <w:start w:w="210" w:type="dxa"/>
              <w:bottom w:w="180" w:type="dxa"/>
              <w:end w:w="210" w:type="dxa"/>
            </w:tcMar>
          </w:tcPr>
          <w:p>
            <w:pPr>
              <w:pStyle w:val="Heading3"/>
              <w:spacing w:before="0" w:after="80"/>
            </w:pPr>
            <w:r>
              <w:t>Teknisk princip</w:t>
            </w:r>
          </w:p>
          <w:p>
            <w:pPr>
              <w:pStyle w:val="TableText"/>
            </w:pPr>
            <w:r>
              <w:t>Prompter är implementation. Produktkontraktet ovan är källan till beteendet och ska kunna testas oberoende av modell.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  <w:keepLines/>
      </w:pPr>
      <w:r>
        <w:t>18. Governance och versionshantering</w:t>
      </w:r>
    </w:p>
    <w:p>
      <w:r>
        <w:t>AI Strategy Engine påverkar produktens rekommendationer och behöver samma disciplin som en kritisk affärsregel.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9DCD6"/>
          <w:left w:val="single" w:sz="5" w:color="C9DCD6"/>
          <w:bottom w:val="single" w:sz="5" w:color="C9DCD6"/>
          <w:right w:val="single" w:sz="5" w:color="C9DCD6"/>
          <w:insideH w:val="single" w:sz="5" w:color="C9DCD6"/>
          <w:insideV w:val="single" w:sz="5" w:color="C9DCD6"/>
        </w:tblBorders>
      </w:tblPr>
      <w:tblGrid>
        <w:gridCol w:w="3168"/>
        <w:gridCol w:w="6480"/>
      </w:tblGrid>
      <w:tr>
        <w:trPr>
          <w:tblHeader w:val="true"/>
        </w:trPr>
        <w:tc>
          <w:tcPr>
            <w:tcW w:type="dxa" w:w="4939"/>
            <w:shd w:fill="0F6B5B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pStyle w:val="TableHeader"/>
            </w:pPr>
            <w:r>
              <w:t>Förändring</w:t>
            </w:r>
          </w:p>
        </w:tc>
        <w:tc>
          <w:tcPr>
            <w:tcW w:type="dxa" w:w="4939"/>
            <w:shd w:fill="0F6B5B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pStyle w:val="TableHeader"/>
            </w:pPr>
            <w:r>
              <w:t>Krav före release</w:t>
            </w:r>
          </w:p>
        </w:tc>
      </w:tr>
      <w:tr>
        <w:trPr>
          <w:cantSplit/>
        </w:trPr>
        <w:tc>
          <w:tcPr>
            <w:tcW w:type="dxa" w:w="3168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Ny prioriteringsfaktor</w:t>
            </w:r>
          </w:p>
        </w:tc>
        <w:tc>
          <w:tcPr>
            <w:tcW w:type="dxa" w:w="6480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Produktbeslut, testfall och dokumenterad vikt</w:t>
            </w:r>
          </w:p>
        </w:tc>
      </w:tr>
      <w:tr>
        <w:trPr>
          <w:cantSplit/>
        </w:trPr>
        <w:tc>
          <w:tcPr>
            <w:tcW w:type="dxa" w:w="3168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Ändrad scoring</w:t>
            </w:r>
          </w:p>
        </w:tc>
        <w:tc>
          <w:tcPr>
            <w:tcW w:type="dxa" w:w="6480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Bakåttest, segmentanalys och versionslyft</w:t>
            </w:r>
          </w:p>
        </w:tc>
      </w:tr>
      <w:tr>
        <w:trPr>
          <w:cantSplit/>
        </w:trPr>
        <w:tc>
          <w:tcPr>
            <w:tcW w:type="dxa" w:w="3168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Ny datakälla</w:t>
            </w:r>
          </w:p>
        </w:tc>
        <w:tc>
          <w:tcPr>
            <w:tcW w:type="dxa" w:w="6480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Datakvalitet, juridik, behörighet och källmärkning</w:t>
            </w:r>
          </w:p>
        </w:tc>
      </w:tr>
      <w:tr>
        <w:trPr>
          <w:cantSplit/>
        </w:trPr>
        <w:tc>
          <w:tcPr>
            <w:tcW w:type="dxa" w:w="3168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Ny exekveringsförmåga</w:t>
            </w:r>
          </w:p>
        </w:tc>
        <w:tc>
          <w:tcPr>
            <w:tcW w:type="dxa" w:w="6480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Riskklassning, godkännandeflöde och rollback</w:t>
            </w:r>
          </w:p>
        </w:tc>
      </w:tr>
      <w:tr>
        <w:trPr>
          <w:cantSplit/>
        </w:trPr>
        <w:tc>
          <w:tcPr>
            <w:tcW w:type="dxa" w:w="3168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Ändrad lärandelogik</w:t>
            </w:r>
          </w:p>
        </w:tc>
        <w:tc>
          <w:tcPr>
            <w:tcW w:type="dxa" w:w="6480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Anti-overfitting-test och audit trail</w:t>
            </w:r>
          </w:p>
        </w:tc>
      </w:tr>
      <w:tr>
        <w:trPr>
          <w:cantSplit/>
        </w:trPr>
        <w:tc>
          <w:tcPr>
            <w:tcW w:type="dxa" w:w="3168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Destruktiv migrering</w:t>
            </w:r>
          </w:p>
        </w:tc>
        <w:tc>
          <w:tcPr>
            <w:tcW w:type="dxa" w:w="6480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t>Uttryckligt godkännande, backup och återställningsplan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t>18.1 Branch- och releaseprinciper</w:t>
      </w:r>
    </w:p>
    <w:p>
      <w:pPr>
        <w:pStyle w:val="ListBullet"/>
        <w:spacing w:after="60"/>
        <w:ind w:left="346" w:hanging="202"/>
      </w:pPr>
      <w:r>
        <w:t>Main-branch ändras aldrig direkt.</w:t>
      </w:r>
    </w:p>
    <w:p>
      <w:pPr>
        <w:pStyle w:val="ListBullet"/>
        <w:spacing w:after="60"/>
        <w:ind w:left="346" w:hanging="202"/>
      </w:pPr>
      <w:r>
        <w:t>Arbete sker i avgränsad branch och sprint med tydlig acceptance criteria.</w:t>
      </w:r>
    </w:p>
    <w:p>
      <w:pPr>
        <w:pStyle w:val="ListBullet"/>
        <w:spacing w:after="60"/>
        <w:ind w:left="346" w:hanging="202"/>
      </w:pPr>
      <w:r>
        <w:t>Produkt-, UX-, arkitektur- och affärsvärde granskas - inte bara teknisk funktion.</w:t>
      </w:r>
    </w:p>
    <w:p>
      <w:pPr>
        <w:pStyle w:val="ListBullet"/>
        <w:spacing w:after="60"/>
        <w:ind w:left="346" w:hanging="202"/>
      </w:pPr>
      <w:r>
        <w:t>Ändringar som påverkar beslutslogik kräver regressionstest mot godkända scenarier.</w:t>
      </w:r>
    </w:p>
    <w:p>
      <w:r>
        <w:br w:type="page"/>
      </w:r>
    </w:p>
    <w:p>
      <w:pPr>
        <w:pStyle w:val="Heading1"/>
        <w:keepNext/>
        <w:keepLines/>
      </w:pPr>
      <w:r>
        <w:t>19. Definition of Done</w:t>
      </w:r>
    </w:p>
    <w:p>
      <w:r>
        <w:t>AI Strategy Engine v1 är produktmässigt klar först när följande är sant:</w:t>
      </w:r>
    </w:p>
    <w:p>
      <w:pPr>
        <w:spacing w:after="120"/>
        <w:ind w:left="72"/>
      </w:pPr>
      <w:r>
        <w:rPr>
          <w:b/>
          <w:color w:val="0F6B5B"/>
        </w:rPr>
        <w:t xml:space="preserve">☐  </w:t>
      </w:r>
      <w:r>
        <w:t>Company Brain är primär sanningskälla och källtyper hanteras enligt Trust Model.</w:t>
      </w:r>
    </w:p>
    <w:p>
      <w:pPr>
        <w:spacing w:after="120"/>
        <w:ind w:left="72"/>
      </w:pPr>
      <w:r>
        <w:rPr>
          <w:b/>
          <w:color w:val="0F6B5B"/>
        </w:rPr>
        <w:t xml:space="preserve">☐  </w:t>
      </w:r>
      <w:r>
        <w:t>Fakta, inferenser och antaganden kan särskiljas i output.</w:t>
      </w:r>
    </w:p>
    <w:p>
      <w:pPr>
        <w:spacing w:after="120"/>
        <w:ind w:left="72"/>
      </w:pPr>
      <w:r>
        <w:rPr>
          <w:b/>
          <w:color w:val="0F6B5B"/>
        </w:rPr>
        <w:t xml:space="preserve">☐  </w:t>
      </w:r>
      <w:r>
        <w:t>Rekommendationer följer Recommendation Contract.</w:t>
      </w:r>
    </w:p>
    <w:p>
      <w:pPr>
        <w:spacing w:after="120"/>
        <w:ind w:left="72"/>
      </w:pPr>
      <w:r>
        <w:rPr>
          <w:b/>
          <w:color w:val="0F6B5B"/>
        </w:rPr>
        <w:t xml:space="preserve">☐  </w:t>
      </w:r>
      <w:r>
        <w:t>Prioriteringen kan förklaras genom sina dimensioner.</w:t>
      </w:r>
    </w:p>
    <w:p>
      <w:pPr>
        <w:spacing w:after="120"/>
        <w:ind w:left="72"/>
      </w:pPr>
      <w:r>
        <w:rPr>
          <w:b/>
          <w:color w:val="0F6B5B"/>
        </w:rPr>
        <w:t xml:space="preserve">☐  </w:t>
      </w:r>
      <w:r>
        <w:t>Motorn kan rekommendera att avvakta eller inte agera.</w:t>
      </w:r>
    </w:p>
    <w:p>
      <w:pPr>
        <w:spacing w:after="120"/>
        <w:ind w:left="72"/>
      </w:pPr>
      <w:r>
        <w:rPr>
          <w:b/>
          <w:color w:val="0F6B5B"/>
        </w:rPr>
        <w:t xml:space="preserve">☐  </w:t>
      </w:r>
      <w:r>
        <w:t>Mänskligt godkännande styr exekvering enligt risk och behörighet.</w:t>
      </w:r>
    </w:p>
    <w:p>
      <w:pPr>
        <w:spacing w:after="120"/>
        <w:ind w:left="72"/>
      </w:pPr>
      <w:r>
        <w:rPr>
          <w:b/>
          <w:color w:val="0F6B5B"/>
        </w:rPr>
        <w:t xml:space="preserve">☐  </w:t>
      </w:r>
      <w:r>
        <w:t>Decision Memory är separerad från Company Brain.</w:t>
      </w:r>
    </w:p>
    <w:p>
      <w:pPr>
        <w:spacing w:after="120"/>
        <w:ind w:left="72"/>
      </w:pPr>
      <w:r>
        <w:rPr>
          <w:b/>
          <w:color w:val="0F6B5B"/>
        </w:rPr>
        <w:t xml:space="preserve">☐  </w:t>
      </w:r>
      <w:r>
        <w:t>Utfall och feedback kan registreras utan automatisk överanpassning.</w:t>
      </w:r>
    </w:p>
    <w:p>
      <w:pPr>
        <w:spacing w:after="120"/>
        <w:ind w:left="72"/>
      </w:pPr>
      <w:r>
        <w:rPr>
          <w:b/>
          <w:color w:val="0F6B5B"/>
        </w:rPr>
        <w:t xml:space="preserve">☐  </w:t>
      </w:r>
      <w:r>
        <w:t>Väsentliga beslut är versions- och revisionsspårbara.</w:t>
      </w:r>
    </w:p>
    <w:p>
      <w:pPr>
        <w:spacing w:after="120"/>
        <w:ind w:left="72"/>
      </w:pPr>
      <w:r>
        <w:rPr>
          <w:b/>
          <w:color w:val="0F6B5B"/>
        </w:rPr>
        <w:t xml:space="preserve">☐  </w:t>
      </w:r>
      <w:r>
        <w:t>Kritiska säkerhets- och integritetsregler är testade.</w:t>
      </w:r>
    </w:p>
    <w:p>
      <w:pPr>
        <w:spacing w:after="120"/>
        <w:ind w:left="72"/>
      </w:pPr>
      <w:r>
        <w:rPr>
          <w:b/>
          <w:color w:val="0F6B5B"/>
        </w:rPr>
        <w:t xml:space="preserve">☐  </w:t>
      </w:r>
      <w:r>
        <w:t>Representativa scenario- och regressionstester passerar.</w:t>
      </w:r>
    </w:p>
    <w:p>
      <w:pPr>
        <w:spacing w:after="120"/>
        <w:ind w:left="72"/>
      </w:pPr>
      <w:r>
        <w:rPr>
          <w:b/>
          <w:color w:val="0F6B5B"/>
        </w:rPr>
        <w:t xml:space="preserve">☐  </w:t>
      </w:r>
      <w:r>
        <w:t>UX-specifikationen för Strategi kan byggas utan att uppfinna ny beslutslogik.</w:t>
      </w:r>
    </w:p>
    <w:p>
      <w:r>
        <w:br w:type="page"/>
      </w:r>
    </w:p>
    <w:p>
      <w:pPr>
        <w:pStyle w:val="Heading1"/>
        <w:keepNext/>
        <w:keepLines/>
      </w:pPr>
      <w:r>
        <w:t>20. Beslut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878"/>
            <w:shd w:fill="EAF4F1"/>
            <w:tcMar>
              <w:top w:w="180" w:type="dxa"/>
              <w:start w:w="210" w:type="dxa"/>
              <w:bottom w:w="180" w:type="dxa"/>
              <w:end w:w="210" w:type="dxa"/>
            </w:tcMar>
          </w:tcPr>
          <w:p>
            <w:pPr>
              <w:pStyle w:val="Heading3"/>
              <w:spacing w:before="0" w:after="80"/>
            </w:pPr>
            <w:r>
              <w:t>Föreslaget beslut</w:t>
            </w:r>
          </w:p>
          <w:p>
            <w:pPr>
              <w:pStyle w:val="TableText"/>
            </w:pPr>
            <w:r>
              <w:t>Godkänn AI Strategy Engine Specification v1.0 som styrande produktkontrakt för hur Marketing Copilot analyserar, prioriterar, rekommenderar, förklarar och lär sig.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t>Konsekvenser av godkännande</w:t>
      </w:r>
    </w:p>
    <w:p>
      <w:pPr>
        <w:pStyle w:val="ListBullet"/>
        <w:spacing w:after="60"/>
        <w:ind w:left="346" w:hanging="202"/>
      </w:pPr>
      <w:r>
        <w:t>Experience Specification - Strategi ska utgå från denna beslutsmodell.</w:t>
      </w:r>
    </w:p>
    <w:p>
      <w:pPr>
        <w:pStyle w:val="ListBullet"/>
        <w:spacing w:after="60"/>
        <w:ind w:left="346" w:hanging="202"/>
      </w:pPr>
      <w:r>
        <w:t>Översikt, Innehåll och Insikter ska återanvända Recommendation Contract och samma källlogik.</w:t>
      </w:r>
    </w:p>
    <w:p>
      <w:pPr>
        <w:pStyle w:val="ListBullet"/>
        <w:spacing w:after="60"/>
        <w:ind w:left="346" w:hanging="202"/>
      </w:pPr>
      <w:r>
        <w:t>Decision Memory etableras som separat domänobjekt och får inte blandas ihop med Company Brain.</w:t>
      </w:r>
    </w:p>
    <w:p>
      <w:pPr>
        <w:pStyle w:val="ListBullet"/>
        <w:spacing w:after="60"/>
        <w:ind w:left="346" w:hanging="202"/>
      </w:pPr>
      <w:r>
        <w:t>Ingen implementation får introducera dold scoring, osynliga antaganden eller autonom exekvering utanför kontraktet.</w:t>
      </w:r>
    </w:p>
    <w:p>
      <w:pPr>
        <w:pStyle w:val="ListBullet"/>
        <w:spacing w:after="60"/>
        <w:ind w:left="346" w:hanging="202"/>
      </w:pPr>
      <w:r>
        <w:t>Framtida ändringar versionshanteras och testas mot dokumentets principer.</w:t>
      </w:r>
    </w:p>
    <w:p>
      <w:pPr>
        <w:pStyle w:val="Heading2"/>
        <w:keepNext/>
        <w:keepLines/>
      </w:pPr>
      <w:r>
        <w:t>Nästa dokument</w:t>
      </w:r>
    </w:p>
    <w:p>
      <w:r>
        <w:t>Experience Specification – Strategi v1.0: upplevelsen där beslutsmotorns prioriteringar, förklaringar, godkännanden och veckoplan blir användbara i praktiken.</w:t>
      </w:r>
    </w:p>
    <w:sectPr w:rsidR="00FC693F" w:rsidRPr="0006063C" w:rsidSect="00034616">
      <w:footerReference w:type="default" r:id="rId9"/>
      <w:pgSz w:w="12240" w:h="15840"/>
      <w:pgMar w:top="1037" w:right="1181" w:bottom="979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E6B67"/>
        <w:sz w:val="15"/>
      </w:rPr>
      <w:t>MARKETING COPILOT  •  AI STRATEGY ENGINE SPECIFICATION  • 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30" w:line="274" w:lineRule="auto"/>
    </w:pPr>
    <w:rPr>
      <w:rFonts w:ascii="Aptos" w:hAnsi="Aptos"/>
      <w:color w:val="14231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F6B5B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14231F"/>
      <w:sz w:val="2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60"/>
      <w:outlineLvl w:val="2"/>
    </w:pPr>
    <w:rPr>
      <w:rFonts w:asciiTheme="majorHAnsi" w:eastAsiaTheme="majorEastAsia" w:hAnsiTheme="majorHAnsi" w:cstheme="majorBidi" w:ascii="Aptos" w:hAnsi="Aptos"/>
      <w:b/>
      <w:bCs/>
      <w:color w:val="0F6B5B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8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0F6B5B"/>
      <w:spacing w:val="5"/>
      <w:kern w:val="28"/>
      <w:sz w:val="6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00"/>
    </w:pPr>
    <w:rPr>
      <w:rFonts w:asciiTheme="majorHAnsi" w:eastAsiaTheme="majorEastAsia" w:hAnsiTheme="majorHAnsi" w:cstheme="majorBidi" w:ascii="Aptos" w:hAnsi="Aptos"/>
      <w:b w:val="0"/>
      <w:i/>
      <w:iCs/>
      <w:color w:val="5E6B67"/>
      <w:spacing w:val="15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60" w:after="160"/>
    </w:pPr>
    <w:rPr>
      <w:rFonts w:ascii="Aptos Display" w:hAnsi="Aptos Display"/>
      <w:i/>
      <w:iCs/>
      <w:color w:val="0F6B5B"/>
      <w:sz w:val="32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yebrow">
    <w:name w:val="Eyebrow"/>
    <w:pPr>
      <w:spacing w:after="140"/>
    </w:pPr>
    <w:rPr>
      <w:rFonts w:ascii="Aptos" w:hAnsi="Aptos"/>
      <w:b/>
      <w:color w:val="0F6B5B"/>
      <w:sz w:val="18"/>
    </w:rPr>
  </w:style>
  <w:style w:type="paragraph" w:customStyle="1" w:styleId="Lead">
    <w:name w:val="Lead"/>
    <w:pPr>
      <w:spacing w:line="288" w:lineRule="auto" w:after="200"/>
    </w:pPr>
    <w:rPr>
      <w:rFonts w:ascii="Aptos" w:hAnsi="Aptos"/>
      <w:color w:val="14231F"/>
      <w:sz w:val="26"/>
    </w:rPr>
  </w:style>
  <w:style w:type="paragraph" w:customStyle="1" w:styleId="Small">
    <w:name w:val="Small"/>
    <w:rPr>
      <w:rFonts w:ascii="Aptos" w:hAnsi="Aptos"/>
      <w:color w:val="5E6B67"/>
      <w:sz w:val="17"/>
    </w:rPr>
  </w:style>
  <w:style w:type="paragraph" w:customStyle="1" w:styleId="TableText">
    <w:name w:val="Table Text"/>
    <w:pPr>
      <w:spacing w:after="0" w:line="259" w:lineRule="auto"/>
    </w:pPr>
    <w:rPr>
      <w:rFonts w:ascii="Aptos" w:hAnsi="Aptos"/>
      <w:color w:val="14231F"/>
      <w:sz w:val="18"/>
    </w:rPr>
  </w:style>
  <w:style w:type="paragraph" w:customStyle="1" w:styleId="TableHeader">
    <w:name w:val="Table Header"/>
    <w:pPr>
      <w:spacing w:after="0"/>
    </w:pPr>
    <w:rPr>
      <w:rFonts w:ascii="Aptos" w:hAnsi="Aptos"/>
      <w:b/>
      <w:color w:val="FFFFFF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Marketing Copilot - AI Strategy Engine Specification v1.0</dc:title>
  <dc:subject>Styrande produktkontrakt för AI-driven marknadsstrategi</dc:subject>
  <dc:creator>Marketing Copilot Product HQ</dc:creator>
  <cp:keywords>Marketing Copilot, AI Strategy Engine, Company Brain, Decision Memory,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