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/>
        <w:jc w:val="left"/>
      </w:pPr>
      <w:r>
        <w:rPr>
          <w:rFonts w:ascii="Aptos" w:hAnsi="Aptos"/>
          <w:b/>
          <w:color w:val="0F6B5B"/>
          <w:sz w:val="22"/>
        </w:rPr>
        <w:t>MARKETING COPILOT</w:t>
      </w:r>
    </w:p>
    <w:p>
      <w:pPr>
        <w:pStyle w:val="Title"/>
        <w:spacing w:after="80"/>
      </w:pPr>
      <w:r>
        <w:rPr>
          <w:rFonts w:ascii="Aptos Display" w:hAnsi="Aptos Display"/>
          <w:b/>
          <w:color w:val="0F6B5B"/>
          <w:sz w:val="56"/>
        </w:rPr>
        <w:t>Architecture Workspace</w:t>
        <w:br/>
        <w:t>Summary</w:t>
      </w:r>
    </w:p>
    <w:p>
      <w:pPr>
        <w:spacing w:after="400"/>
      </w:pPr>
      <w:r>
        <w:rPr>
          <w:rFonts w:ascii="Aptos" w:hAnsi="Aptos"/>
          <w:b/>
          <w:color w:val="18302B"/>
          <w:sz w:val="30"/>
        </w:rPr>
        <w:t>Version 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432"/>
            <w:tcMar>
              <w:top w:w="150" w:type="dxa"/>
              <w:start w:w="180" w:type="dxa"/>
              <w:bottom w:w="150" w:type="dxa"/>
              <w:end w:w="180" w:type="dxa"/>
            </w:tcMar>
            <w:shd w:fill="EAF4F1"/>
          </w:tcPr>
          <w:p>
            <w:pPr>
              <w:spacing w:after="80"/>
            </w:pPr>
            <w:r>
              <w:rPr>
                <w:rFonts w:ascii="Aptos" w:hAnsi="Aptos"/>
                <w:b/>
                <w:color w:val="0F6B5B"/>
                <w:sz w:val="21"/>
              </w:rPr>
              <w:t>Syfte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color w:val="18302B"/>
                <w:sz w:val="20"/>
              </w:rPr>
              <w:t>Sammanfatta den aktuella arkitekturen i arbetsytan 🏗️ Arkitektur inför flytten av Marketing Copilot till en ny arbetsmiljö. Dokumentet ska kunna användas som överlämningsunderlag av en ny arkitekt eller utvecklare.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376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Fält</w:t>
            </w:r>
          </w:p>
        </w:tc>
        <w:tc>
          <w:tcPr>
            <w:tcW w:type="dxa" w:w="7056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Värde</w:t>
            </w:r>
          </w:p>
        </w:tc>
      </w:tr>
      <w:tr>
        <w:tc>
          <w:tcPr>
            <w:tcW w:type="dxa" w:w="237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8"/>
              </w:rPr>
              <w:t>Dokumentstatus</w:t>
            </w:r>
          </w:p>
        </w:tc>
        <w:tc>
          <w:tcPr>
            <w:tcW w:type="dxa" w:w="70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8"/>
              </w:rPr>
              <w:t>Aktiv sammanfattning</w:t>
            </w:r>
          </w:p>
        </w:tc>
      </w:tr>
      <w:tr>
        <w:tc>
          <w:tcPr>
            <w:tcW w:type="dxa" w:w="237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8"/>
              </w:rPr>
              <w:t>Omfattning</w:t>
            </w:r>
          </w:p>
        </w:tc>
        <w:tc>
          <w:tcPr>
            <w:tcW w:type="dxa" w:w="70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8"/>
              </w:rPr>
              <w:t>Aktuell arkitektur från denna arbetsyta</w:t>
            </w:r>
          </w:p>
        </w:tc>
      </w:tr>
      <w:tr>
        <w:tc>
          <w:tcPr>
            <w:tcW w:type="dxa" w:w="237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8"/>
              </w:rPr>
              <w:t>Ägare</w:t>
            </w:r>
          </w:p>
        </w:tc>
        <w:tc>
          <w:tcPr>
            <w:tcW w:type="dxa" w:w="70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8"/>
              </w:rPr>
              <w:t>Marketing Copilot / Arkitektur</w:t>
            </w:r>
          </w:p>
        </w:tc>
      </w:tr>
      <w:tr>
        <w:tc>
          <w:tcPr>
            <w:tcW w:type="dxa" w:w="237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8"/>
              </w:rPr>
              <w:t>Datum</w:t>
            </w:r>
          </w:p>
        </w:tc>
        <w:tc>
          <w:tcPr>
            <w:tcW w:type="dxa" w:w="70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8"/>
              </w:rPr>
              <w:t>5 augusti 2026</w:t>
            </w:r>
          </w:p>
        </w:tc>
      </w:tr>
      <w:tr>
        <w:tc>
          <w:tcPr>
            <w:tcW w:type="dxa" w:w="237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8"/>
              </w:rPr>
              <w:t>Konfidentialitet</w:t>
            </w:r>
          </w:p>
        </w:tc>
        <w:tc>
          <w:tcPr>
            <w:tcW w:type="dxa" w:w="70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8"/>
              </w:rPr>
              <w:t>Intern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Innehåll</w:t>
      </w:r>
    </w:p>
    <w:p>
      <w:pPr>
        <w:tabs>
          <w:tab w:pos="8856" w:val="right" w:leader="dot"/>
        </w:tabs>
        <w:spacing w:after="100"/>
      </w:pPr>
      <w:r>
        <w:rPr>
          <w:rFonts w:ascii="Aptos" w:hAnsi="Aptos"/>
          <w:color w:val="18302B"/>
          <w:sz w:val="21"/>
        </w:rPr>
        <w:t>1. Sammanfattning</w:t>
      </w:r>
      <w:r>
        <w:rPr>
          <w:rFonts w:ascii="Aptos" w:hAnsi="Aptos"/>
          <w:b/>
          <w:color w:val="0F6B5B"/>
          <w:sz w:val="21"/>
        </w:rPr>
        <w:tab/>
        <w:t>3</w:t>
      </w:r>
    </w:p>
    <w:p>
      <w:pPr>
        <w:tabs>
          <w:tab w:pos="8856" w:val="right" w:leader="dot"/>
        </w:tabs>
        <w:spacing w:after="100"/>
      </w:pPr>
      <w:r>
        <w:rPr>
          <w:rFonts w:ascii="Aptos" w:hAnsi="Aptos"/>
          <w:color w:val="18302B"/>
          <w:sz w:val="21"/>
        </w:rPr>
        <w:t>2. Systemarkitektur</w:t>
      </w:r>
      <w:r>
        <w:rPr>
          <w:rFonts w:ascii="Aptos" w:hAnsi="Aptos"/>
          <w:b/>
          <w:color w:val="0F6B5B"/>
          <w:sz w:val="21"/>
        </w:rPr>
        <w:tab/>
        <w:t>3</w:t>
      </w:r>
    </w:p>
    <w:p>
      <w:pPr>
        <w:tabs>
          <w:tab w:pos="8856" w:val="right" w:leader="dot"/>
        </w:tabs>
        <w:spacing w:after="100"/>
      </w:pPr>
      <w:r>
        <w:rPr>
          <w:rFonts w:ascii="Aptos" w:hAnsi="Aptos"/>
          <w:color w:val="18302B"/>
          <w:sz w:val="21"/>
        </w:rPr>
        <w:t>3. Backend</w:t>
      </w:r>
      <w:r>
        <w:rPr>
          <w:rFonts w:ascii="Aptos" w:hAnsi="Aptos"/>
          <w:b/>
          <w:color w:val="0F6B5B"/>
          <w:sz w:val="21"/>
        </w:rPr>
        <w:tab/>
        <w:t>4</w:t>
      </w:r>
    </w:p>
    <w:p>
      <w:pPr>
        <w:tabs>
          <w:tab w:pos="8856" w:val="right" w:leader="dot"/>
        </w:tabs>
        <w:spacing w:after="100"/>
      </w:pPr>
      <w:r>
        <w:rPr>
          <w:rFonts w:ascii="Aptos" w:hAnsi="Aptos"/>
          <w:color w:val="18302B"/>
          <w:sz w:val="21"/>
        </w:rPr>
        <w:t>4. API</w:t>
      </w:r>
      <w:r>
        <w:rPr>
          <w:rFonts w:ascii="Aptos" w:hAnsi="Aptos"/>
          <w:b/>
          <w:color w:val="0F6B5B"/>
          <w:sz w:val="21"/>
        </w:rPr>
        <w:tab/>
        <w:t>5</w:t>
      </w:r>
    </w:p>
    <w:p>
      <w:pPr>
        <w:tabs>
          <w:tab w:pos="8856" w:val="right" w:leader="dot"/>
        </w:tabs>
        <w:spacing w:after="100"/>
      </w:pPr>
      <w:r>
        <w:rPr>
          <w:rFonts w:ascii="Aptos" w:hAnsi="Aptos"/>
          <w:color w:val="18302B"/>
          <w:sz w:val="21"/>
        </w:rPr>
        <w:t>5. Databas</w:t>
      </w:r>
      <w:r>
        <w:rPr>
          <w:rFonts w:ascii="Aptos" w:hAnsi="Aptos"/>
          <w:b/>
          <w:color w:val="0F6B5B"/>
          <w:sz w:val="21"/>
        </w:rPr>
        <w:tab/>
        <w:t>6</w:t>
      </w:r>
    </w:p>
    <w:p>
      <w:pPr>
        <w:tabs>
          <w:tab w:pos="8856" w:val="right" w:leader="dot"/>
        </w:tabs>
        <w:spacing w:after="100"/>
      </w:pPr>
      <w:r>
        <w:rPr>
          <w:rFonts w:ascii="Aptos" w:hAnsi="Aptos"/>
          <w:color w:val="18302B"/>
          <w:sz w:val="21"/>
        </w:rPr>
        <w:t>6. Supabase</w:t>
      </w:r>
      <w:r>
        <w:rPr>
          <w:rFonts w:ascii="Aptos" w:hAnsi="Aptos"/>
          <w:b/>
          <w:color w:val="0F6B5B"/>
          <w:sz w:val="21"/>
        </w:rPr>
        <w:tab/>
        <w:t>7</w:t>
      </w:r>
    </w:p>
    <w:p>
      <w:pPr>
        <w:tabs>
          <w:tab w:pos="8856" w:val="right" w:leader="dot"/>
        </w:tabs>
        <w:spacing w:after="100"/>
      </w:pPr>
      <w:r>
        <w:rPr>
          <w:rFonts w:ascii="Aptos" w:hAnsi="Aptos"/>
          <w:color w:val="18302B"/>
          <w:sz w:val="21"/>
        </w:rPr>
        <w:t>7. Säkerhet</w:t>
      </w:r>
      <w:r>
        <w:rPr>
          <w:rFonts w:ascii="Aptos" w:hAnsi="Aptos"/>
          <w:b/>
          <w:color w:val="0F6B5B"/>
          <w:sz w:val="21"/>
        </w:rPr>
        <w:tab/>
        <w:t>7</w:t>
      </w:r>
    </w:p>
    <w:p>
      <w:pPr>
        <w:tabs>
          <w:tab w:pos="8856" w:val="right" w:leader="dot"/>
        </w:tabs>
        <w:spacing w:after="100"/>
      </w:pPr>
      <w:r>
        <w:rPr>
          <w:rFonts w:ascii="Aptos" w:hAnsi="Aptos"/>
          <w:color w:val="18302B"/>
          <w:sz w:val="21"/>
        </w:rPr>
        <w:t>8. Skalbarhet</w:t>
      </w:r>
      <w:r>
        <w:rPr>
          <w:rFonts w:ascii="Aptos" w:hAnsi="Aptos"/>
          <w:b/>
          <w:color w:val="0F6B5B"/>
          <w:sz w:val="21"/>
        </w:rPr>
        <w:tab/>
        <w:t>8</w:t>
      </w:r>
    </w:p>
    <w:p>
      <w:pPr>
        <w:tabs>
          <w:tab w:pos="8856" w:val="right" w:leader="dot"/>
        </w:tabs>
        <w:spacing w:after="100"/>
      </w:pPr>
      <w:r>
        <w:rPr>
          <w:rFonts w:ascii="Aptos" w:hAnsi="Aptos"/>
          <w:color w:val="18302B"/>
          <w:sz w:val="21"/>
        </w:rPr>
        <w:t>9. Tekniska principer</w:t>
      </w:r>
      <w:r>
        <w:rPr>
          <w:rFonts w:ascii="Aptos" w:hAnsi="Aptos"/>
          <w:b/>
          <w:color w:val="0F6B5B"/>
          <w:sz w:val="21"/>
        </w:rPr>
        <w:tab/>
        <w:t>8</w:t>
      </w:r>
    </w:p>
    <w:p>
      <w:pPr>
        <w:tabs>
          <w:tab w:pos="8856" w:val="right" w:leader="dot"/>
        </w:tabs>
        <w:spacing w:after="100"/>
      </w:pPr>
      <w:r>
        <w:rPr>
          <w:rFonts w:ascii="Aptos" w:hAnsi="Aptos"/>
          <w:color w:val="18302B"/>
          <w:sz w:val="21"/>
        </w:rPr>
        <w:t>10. Arkitekturbeslut</w:t>
      </w:r>
      <w:r>
        <w:rPr>
          <w:rFonts w:ascii="Aptos" w:hAnsi="Aptos"/>
          <w:b/>
          <w:color w:val="0F6B5B"/>
          <w:sz w:val="21"/>
        </w:rPr>
        <w:tab/>
        <w:t>9</w:t>
      </w:r>
    </w:p>
    <w:p>
      <w:pPr>
        <w:tabs>
          <w:tab w:pos="8856" w:val="right" w:leader="dot"/>
        </w:tabs>
        <w:spacing w:after="100"/>
      </w:pPr>
      <w:r>
        <w:rPr>
          <w:rFonts w:ascii="Aptos" w:hAnsi="Aptos"/>
          <w:color w:val="18302B"/>
          <w:sz w:val="21"/>
        </w:rPr>
        <w:t>11. Dokument som skapats i arbetsytan</w:t>
      </w:r>
      <w:r>
        <w:rPr>
          <w:rFonts w:ascii="Aptos" w:hAnsi="Aptos"/>
          <w:b/>
          <w:color w:val="0F6B5B"/>
          <w:sz w:val="21"/>
        </w:rPr>
        <w:tab/>
        <w:t>10</w:t>
      </w:r>
    </w:p>
    <w:p>
      <w:pPr>
        <w:tabs>
          <w:tab w:pos="8856" w:val="right" w:leader="dot"/>
        </w:tabs>
        <w:spacing w:after="100"/>
      </w:pPr>
      <w:r>
        <w:rPr>
          <w:rFonts w:ascii="Aptos" w:hAnsi="Aptos"/>
          <w:color w:val="18302B"/>
          <w:sz w:val="21"/>
        </w:rPr>
        <w:t>12. Kända luckor och öppna frågor</w:t>
      </w:r>
      <w:r>
        <w:rPr>
          <w:rFonts w:ascii="Aptos" w:hAnsi="Aptos"/>
          <w:b/>
          <w:color w:val="0F6B5B"/>
          <w:sz w:val="21"/>
        </w:rPr>
        <w:tab/>
        <w:t>10</w:t>
      </w:r>
    </w:p>
    <w:p>
      <w:pPr>
        <w:tabs>
          <w:tab w:pos="8856" w:val="right" w:leader="dot"/>
        </w:tabs>
        <w:spacing w:after="100"/>
      </w:pPr>
      <w:r>
        <w:rPr>
          <w:rFonts w:ascii="Aptos" w:hAnsi="Aptos"/>
          <w:color w:val="18302B"/>
          <w:sz w:val="21"/>
        </w:rPr>
        <w:t>13. Rekommenderade nästa steg</w:t>
      </w:r>
      <w:r>
        <w:rPr>
          <w:rFonts w:ascii="Aptos" w:hAnsi="Aptos"/>
          <w:b/>
          <w:color w:val="0F6B5B"/>
          <w:sz w:val="21"/>
        </w:rPr>
        <w:tab/>
        <w:t>10</w:t>
      </w:r>
    </w:p>
    <w:p>
      <w:pPr>
        <w:tabs>
          <w:tab w:pos="8856" w:val="right" w:leader="dot"/>
        </w:tabs>
        <w:spacing w:after="100"/>
      </w:pPr>
      <w:r>
        <w:rPr>
          <w:rFonts w:ascii="Aptos" w:hAnsi="Aptos"/>
          <w:color w:val="18302B"/>
          <w:sz w:val="21"/>
        </w:rPr>
        <w:t>Bilaga A - Arkitekturöversikt</w:t>
      </w:r>
      <w:r>
        <w:rPr>
          <w:rFonts w:ascii="Aptos" w:hAnsi="Aptos"/>
          <w:b/>
          <w:color w:val="0F6B5B"/>
          <w:sz w:val="21"/>
        </w:rPr>
        <w:tab/>
        <w:t>11</w:t>
      </w:r>
    </w:p>
    <w:p>
      <w:pPr>
        <w:tabs>
          <w:tab w:pos="8856" w:val="right" w:leader="dot"/>
        </w:tabs>
        <w:spacing w:after="100"/>
      </w:pPr>
      <w:r>
        <w:rPr>
          <w:rFonts w:ascii="Aptos" w:hAnsi="Aptos"/>
          <w:color w:val="18302B"/>
          <w:sz w:val="21"/>
        </w:rPr>
        <w:t>Bilaga B - Ordlista</w:t>
      </w:r>
      <w:r>
        <w:rPr>
          <w:rFonts w:ascii="Aptos" w:hAnsi="Aptos"/>
          <w:b/>
          <w:color w:val="0F6B5B"/>
          <w:sz w:val="21"/>
        </w:rPr>
        <w:tab/>
        <w:t>11</w:t>
      </w:r>
    </w:p>
    <w:p>
      <w:r>
        <w:br w:type="page"/>
      </w:r>
    </w:p>
    <w:p>
      <w:pPr>
        <w:pStyle w:val="Heading1"/>
      </w:pPr>
      <w:r>
        <w:t>1. Sammanfattning</w:t>
      </w:r>
    </w:p>
    <w:p>
      <w:pPr>
        <w:spacing w:after="140" w:line="274" w:lineRule="auto"/>
      </w:pPr>
      <w:r>
        <w:rPr>
          <w:rFonts w:ascii="Aptos" w:hAnsi="Aptos"/>
          <w:color w:val="18302B"/>
          <w:sz w:val="21"/>
        </w:rPr>
        <w:t>Marketing Copilot är arkitekterat som en AI-driven marknadsplattform där Company Brain fungerar som primär sanningskälla, Marketing Strategist ansvarar för strategiska beslut och specialiserade agenter producerar innehåll inom tydligt avgränsade ansvarsområden. Samma intelligensmotor ska stödja två användarupplevelser: Marketing Autopilot för enkel, återkommande marknadsföring och Campaign Builder för mer styrda kampanjer.</w:t>
      </w:r>
    </w:p>
    <w:p>
      <w:pPr>
        <w:spacing w:after="140" w:line="274" w:lineRule="auto"/>
      </w:pPr>
      <w:r>
        <w:rPr>
          <w:rFonts w:ascii="Aptos" w:hAnsi="Aptos"/>
          <w:color w:val="18302B"/>
          <w:sz w:val="21"/>
        </w:rPr>
        <w:t>Arkitekturen bygger på att användaren alltid behåller kontrollen. Nya kunder ska arbeta i Review Mode, där AI:n skapar färdiga förslag men ingenting publiceras automatiskt. Mer automation kan erbjudas först när företagskunskapen är tillräcklig och användaren uttryckligen väljer det.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432"/>
            <w:tcMar>
              <w:top w:w="150" w:type="dxa"/>
              <w:start w:w="180" w:type="dxa"/>
              <w:bottom w:w="150" w:type="dxa"/>
              <w:end w:w="180" w:type="dxa"/>
            </w:tcMar>
            <w:shd w:fill="EAF4F1"/>
          </w:tcPr>
          <w:p>
            <w:pPr>
              <w:spacing w:after="80"/>
            </w:pPr>
            <w:r>
              <w:rPr>
                <w:rFonts w:ascii="Aptos" w:hAnsi="Aptos"/>
                <w:b/>
                <w:color w:val="0F6B5B"/>
                <w:sz w:val="21"/>
              </w:rPr>
              <w:t>Övergripande arkitekturbeslut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color w:val="18302B"/>
                <w:sz w:val="20"/>
              </w:rPr>
              <w:t>En strategisk motor tänker. Flera specialister utför. Company Brain lagrar verifierad företagskunskap. Återkoppling och lärande får förbättra rekommendationer men får inte skriva över verifierade fakta utan kontrollerad process.</w:t>
            </w:r>
          </w:p>
        </w:tc>
      </w:tr>
    </w:tbl>
    <w:p>
      <w:pPr>
        <w:spacing w:after="20"/>
      </w:pPr>
    </w:p>
    <w:p>
      <w:pPr>
        <w:pStyle w:val="Heading1"/>
      </w:pPr>
      <w:r>
        <w:t>2. Systemarkitektur</w:t>
      </w:r>
    </w:p>
    <w:p>
      <w:pPr>
        <w:spacing w:after="140" w:line="274" w:lineRule="auto"/>
      </w:pPr>
      <w:r>
        <w:rPr>
          <w:rFonts w:ascii="Aptos" w:hAnsi="Aptos"/>
          <w:color w:val="18302B"/>
          <w:sz w:val="21"/>
        </w:rPr>
        <w:t>Systemet består av sex logiska lager. Lagren ska hållas separerade för att minska koppling, förenkla testning och göra det möjligt att utveckla nya kanaler utan att duplicera strategisk logik.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792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Lager</w:t>
            </w:r>
          </w:p>
        </w:tc>
        <w:tc>
          <w:tcPr>
            <w:tcW w:type="dxa" w:w="2376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Komponent</w:t>
            </w:r>
          </w:p>
        </w:tc>
        <w:tc>
          <w:tcPr>
            <w:tcW w:type="dxa" w:w="6263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Huvudansvar</w:t>
            </w:r>
          </w:p>
        </w:tc>
      </w:tr>
      <w:tr>
        <w:tc>
          <w:tcPr>
            <w:tcW w:type="dxa" w:w="79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8"/>
              </w:rPr>
              <w:t>1</w:t>
            </w:r>
          </w:p>
        </w:tc>
        <w:tc>
          <w:tcPr>
            <w:tcW w:type="dxa" w:w="237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8"/>
              </w:rPr>
              <w:t>Company Brain</w:t>
            </w:r>
          </w:p>
        </w:tc>
        <w:tc>
          <w:tcPr>
            <w:tcW w:type="dxa" w:w="6263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8"/>
              </w:rPr>
              <w:t>Lagrar verifierad och källmärkt kunskap om företaget.</w:t>
            </w:r>
          </w:p>
        </w:tc>
      </w:tr>
      <w:tr>
        <w:tc>
          <w:tcPr>
            <w:tcW w:type="dxa" w:w="79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8"/>
              </w:rPr>
              <w:t>2</w:t>
            </w:r>
          </w:p>
        </w:tc>
        <w:tc>
          <w:tcPr>
            <w:tcW w:type="dxa" w:w="237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8"/>
              </w:rPr>
              <w:t>Marketing Strategist</w:t>
            </w:r>
          </w:p>
        </w:tc>
        <w:tc>
          <w:tcPr>
            <w:tcW w:type="dxa" w:w="6263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8"/>
              </w:rPr>
              <w:t>Analyserar mål, kontext och företagskunskap samt prioriterar insatser.</w:t>
            </w:r>
          </w:p>
        </w:tc>
      </w:tr>
      <w:tr>
        <w:tc>
          <w:tcPr>
            <w:tcW w:type="dxa" w:w="79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8"/>
              </w:rPr>
              <w:t>3</w:t>
            </w:r>
          </w:p>
        </w:tc>
        <w:tc>
          <w:tcPr>
            <w:tcW w:type="dxa" w:w="237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8"/>
              </w:rPr>
              <w:t>Strategy Context</w:t>
            </w:r>
          </w:p>
        </w:tc>
        <w:tc>
          <w:tcPr>
            <w:tcW w:type="dxa" w:w="6263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8"/>
              </w:rPr>
              <w:t>Versionsbundet arbetsunderlag som specialister använder.</w:t>
            </w:r>
          </w:p>
        </w:tc>
      </w:tr>
      <w:tr>
        <w:tc>
          <w:tcPr>
            <w:tcW w:type="dxa" w:w="79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8"/>
              </w:rPr>
              <w:t>4</w:t>
            </w:r>
          </w:p>
        </w:tc>
        <w:tc>
          <w:tcPr>
            <w:tcW w:type="dxa" w:w="237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8"/>
              </w:rPr>
              <w:t>Specialister</w:t>
            </w:r>
          </w:p>
        </w:tc>
        <w:tc>
          <w:tcPr>
            <w:tcW w:type="dxa" w:w="6263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8"/>
              </w:rPr>
              <w:t>Producerar kanal- eller formatanpassat innehåll utan egna strategiska antaganden.</w:t>
            </w:r>
          </w:p>
        </w:tc>
      </w:tr>
      <w:tr>
        <w:tc>
          <w:tcPr>
            <w:tcW w:type="dxa" w:w="79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8"/>
              </w:rPr>
              <w:t>5</w:t>
            </w:r>
          </w:p>
        </w:tc>
        <w:tc>
          <w:tcPr>
            <w:tcW w:type="dxa" w:w="237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8"/>
              </w:rPr>
              <w:t>Feedback och godkännande</w:t>
            </w:r>
          </w:p>
        </w:tc>
        <w:tc>
          <w:tcPr>
            <w:tcW w:type="dxa" w:w="6263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8"/>
              </w:rPr>
              <w:t>Fångar användarens redigeringar, godkännanden och avslag.</w:t>
            </w:r>
          </w:p>
        </w:tc>
      </w:tr>
      <w:tr>
        <w:tc>
          <w:tcPr>
            <w:tcW w:type="dxa" w:w="79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8"/>
              </w:rPr>
              <w:t>6</w:t>
            </w:r>
          </w:p>
        </w:tc>
        <w:tc>
          <w:tcPr>
            <w:tcW w:type="dxa" w:w="237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8"/>
              </w:rPr>
              <w:t>Learning Engine</w:t>
            </w:r>
          </w:p>
        </w:tc>
        <w:tc>
          <w:tcPr>
            <w:tcW w:type="dxa" w:w="6263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8"/>
              </w:rPr>
              <w:t>Identifierar mönster och skapar observationer med källa och konfidens.</w:t>
            </w:r>
          </w:p>
        </w:tc>
      </w:tr>
    </w:tbl>
    <w:p>
      <w:pPr>
        <w:spacing w:after="40"/>
      </w:pPr>
    </w:p>
    <w:p>
      <w:pPr>
        <w:pStyle w:val="Heading2"/>
      </w:pPr>
      <w:r>
        <w:t>2.1 Informationsflöde</w:t>
      </w:r>
    </w:p>
    <w:p>
      <w:pPr>
        <w:spacing w:after="40"/>
        <w:jc w:val="center"/>
      </w:pPr>
      <w:r>
        <w:rPr>
          <w:rFonts w:ascii="Aptos" w:hAnsi="Aptos"/>
          <w:b/>
          <w:color w:val="0F6B5B"/>
          <w:sz w:val="21"/>
        </w:rPr>
        <w:t>Company Brain</w:t>
      </w:r>
    </w:p>
    <w:p>
      <w:pPr>
        <w:spacing w:after="20"/>
        <w:jc w:val="center"/>
      </w:pPr>
      <w:r>
        <w:rPr>
          <w:rFonts w:ascii="Aptos" w:hAnsi="Aptos"/>
          <w:b/>
          <w:color w:val="0F6B5B"/>
          <w:sz w:val="26"/>
        </w:rPr>
        <w:t>↓</w:t>
      </w:r>
    </w:p>
    <w:p>
      <w:pPr>
        <w:spacing w:after="40"/>
        <w:jc w:val="center"/>
      </w:pPr>
      <w:r>
        <w:rPr>
          <w:rFonts w:ascii="Aptos" w:hAnsi="Aptos"/>
          <w:b/>
          <w:color w:val="0F6B5B"/>
          <w:sz w:val="21"/>
        </w:rPr>
        <w:t>Marketing Strategist</w:t>
      </w:r>
    </w:p>
    <w:p>
      <w:pPr>
        <w:spacing w:after="20"/>
        <w:jc w:val="center"/>
      </w:pPr>
      <w:r>
        <w:rPr>
          <w:rFonts w:ascii="Aptos" w:hAnsi="Aptos"/>
          <w:b/>
          <w:color w:val="0F6B5B"/>
          <w:sz w:val="26"/>
        </w:rPr>
        <w:t>↓</w:t>
      </w:r>
    </w:p>
    <w:p>
      <w:pPr>
        <w:spacing w:after="40"/>
        <w:jc w:val="center"/>
      </w:pPr>
      <w:r>
        <w:rPr>
          <w:rFonts w:ascii="Aptos" w:hAnsi="Aptos"/>
          <w:b/>
          <w:color w:val="0F6B5B"/>
          <w:sz w:val="21"/>
        </w:rPr>
        <w:t>Strategy Context</w:t>
      </w:r>
    </w:p>
    <w:p>
      <w:pPr>
        <w:spacing w:after="20"/>
        <w:jc w:val="center"/>
      </w:pPr>
      <w:r>
        <w:rPr>
          <w:rFonts w:ascii="Aptos" w:hAnsi="Aptos"/>
          <w:b/>
          <w:color w:val="0F6B5B"/>
          <w:sz w:val="26"/>
        </w:rPr>
        <w:t>↓</w:t>
      </w:r>
    </w:p>
    <w:p>
      <w:pPr>
        <w:spacing w:after="40"/>
        <w:jc w:val="center"/>
      </w:pPr>
      <w:r>
        <w:rPr>
          <w:rFonts w:ascii="Aptos" w:hAnsi="Aptos"/>
          <w:b/>
          <w:color w:val="18302B"/>
          <w:sz w:val="21"/>
        </w:rPr>
        <w:t>Specialister</w:t>
      </w:r>
    </w:p>
    <w:p>
      <w:pPr>
        <w:spacing w:after="20"/>
        <w:jc w:val="center"/>
      </w:pPr>
      <w:r>
        <w:rPr>
          <w:rFonts w:ascii="Aptos" w:hAnsi="Aptos"/>
          <w:b/>
          <w:color w:val="0F6B5B"/>
          <w:sz w:val="26"/>
        </w:rPr>
        <w:t>↓</w:t>
      </w:r>
    </w:p>
    <w:p>
      <w:pPr>
        <w:spacing w:after="40"/>
        <w:jc w:val="center"/>
      </w:pPr>
      <w:r>
        <w:rPr>
          <w:rFonts w:ascii="Aptos" w:hAnsi="Aptos"/>
          <w:b/>
          <w:color w:val="18302B"/>
          <w:sz w:val="21"/>
        </w:rPr>
        <w:t>Innehållsförslag</w:t>
      </w:r>
    </w:p>
    <w:p>
      <w:pPr>
        <w:spacing w:after="20"/>
        <w:jc w:val="center"/>
      </w:pPr>
      <w:r>
        <w:rPr>
          <w:rFonts w:ascii="Aptos" w:hAnsi="Aptos"/>
          <w:b/>
          <w:color w:val="0F6B5B"/>
          <w:sz w:val="26"/>
        </w:rPr>
        <w:t>↓</w:t>
      </w:r>
    </w:p>
    <w:p>
      <w:pPr>
        <w:spacing w:after="40"/>
        <w:jc w:val="center"/>
      </w:pPr>
      <w:r>
        <w:rPr>
          <w:rFonts w:ascii="Aptos" w:hAnsi="Aptos"/>
          <w:b/>
          <w:color w:val="18302B"/>
          <w:sz w:val="21"/>
        </w:rPr>
        <w:t>Användargranskning</w:t>
      </w:r>
    </w:p>
    <w:p>
      <w:pPr>
        <w:spacing w:after="20"/>
        <w:jc w:val="center"/>
      </w:pPr>
      <w:r>
        <w:rPr>
          <w:rFonts w:ascii="Aptos" w:hAnsi="Aptos"/>
          <w:b/>
          <w:color w:val="0F6B5B"/>
          <w:sz w:val="26"/>
        </w:rPr>
        <w:t>↓</w:t>
      </w:r>
    </w:p>
    <w:p>
      <w:pPr>
        <w:spacing w:after="40"/>
        <w:jc w:val="center"/>
      </w:pPr>
      <w:r>
        <w:rPr>
          <w:rFonts w:ascii="Aptos" w:hAnsi="Aptos"/>
          <w:b/>
          <w:color w:val="18302B"/>
          <w:sz w:val="21"/>
        </w:rPr>
        <w:t>Feedback / lärande</w:t>
      </w:r>
    </w:p>
    <w:p>
      <w:pPr>
        <w:spacing w:after="20"/>
        <w:jc w:val="center"/>
      </w:pPr>
      <w:r>
        <w:rPr>
          <w:rFonts w:ascii="Aptos" w:hAnsi="Aptos"/>
          <w:b/>
          <w:color w:val="0F6B5B"/>
          <w:sz w:val="26"/>
        </w:rPr>
        <w:t>↓</w:t>
      </w:r>
    </w:p>
    <w:p>
      <w:pPr>
        <w:spacing w:after="40"/>
        <w:jc w:val="center"/>
      </w:pPr>
      <w:r>
        <w:rPr>
          <w:rFonts w:ascii="Aptos" w:hAnsi="Aptos"/>
          <w:b/>
          <w:color w:val="18302B"/>
          <w:sz w:val="21"/>
        </w:rPr>
        <w:t>Kontrollerad uppdatering</w:t>
      </w:r>
    </w:p>
    <w:p>
      <w:pPr>
        <w:pStyle w:val="Heading2"/>
      </w:pPr>
      <w:r>
        <w:t>2.2 Två upplevelser ovanpå samma motor</w:t>
      </w:r>
    </w:p>
    <w:p>
      <w:pPr>
        <w:spacing w:after="140" w:line="274" w:lineRule="auto"/>
      </w:pPr>
      <w:r>
        <w:rPr>
          <w:rFonts w:ascii="Aptos" w:hAnsi="Aptos"/>
          <w:color w:val="18302B"/>
          <w:sz w:val="21"/>
        </w:rPr>
        <w:t>Marketing Autopilot och Campaign Builder ska inte byggas som två separata produkter. De ska dela Company Brain, Marketing Strategist, Strategy Context, specialistlager och feedbackmodell. Skillnaden ligger i hur mycket kontroll användaren vill ha och hur mycket av planeringen systemet gör automatiskt.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088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Upplevelse</w:t>
            </w:r>
          </w:p>
        </w:tc>
        <w:tc>
          <w:tcPr>
            <w:tcW w:type="dxa" w:w="2592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Primär användare</w:t>
            </w:r>
          </w:p>
        </w:tc>
        <w:tc>
          <w:tcPr>
            <w:tcW w:type="dxa" w:w="2088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Kontrollnivå</w:t>
            </w:r>
          </w:p>
        </w:tc>
        <w:tc>
          <w:tcPr>
            <w:tcW w:type="dxa" w:w="2664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Arkitektonisk princip</w:t>
            </w:r>
          </w:p>
        </w:tc>
      </w:tr>
      <w:tr>
        <w:tc>
          <w:tcPr>
            <w:tcW w:type="dxa" w:w="208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Marketing Autopilot</w:t>
            </w:r>
          </w:p>
        </w:tc>
        <w:tc>
          <w:tcPr>
            <w:tcW w:type="dxa" w:w="259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Småföretag som vill minimera arbete</w:t>
            </w:r>
          </w:p>
        </w:tc>
        <w:tc>
          <w:tcPr>
            <w:tcW w:type="dxa" w:w="208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AI planerar; användaren granskar</w:t>
            </w:r>
          </w:p>
        </w:tc>
        <w:tc>
          <w:tcPr>
            <w:tcW w:type="dxa" w:w="266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Standardiserade arbetsflöden ovanpå samma strategimotor</w:t>
            </w:r>
          </w:p>
        </w:tc>
      </w:tr>
      <w:tr>
        <w:tc>
          <w:tcPr>
            <w:tcW w:type="dxa" w:w="208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Campaign Builder</w:t>
            </w:r>
          </w:p>
        </w:tc>
        <w:tc>
          <w:tcPr>
            <w:tcW w:type="dxa" w:w="259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Användare med specifika mål eller kampanjer</w:t>
            </w:r>
          </w:p>
        </w:tc>
        <w:tc>
          <w:tcPr>
            <w:tcW w:type="dxa" w:w="208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Användaren styr mål, målgrupp och ramar</w:t>
            </w:r>
          </w:p>
        </w:tc>
        <w:tc>
          <w:tcPr>
            <w:tcW w:type="dxa" w:w="266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Fler explicita indata men samma strategi- och specialistlager</w:t>
            </w:r>
          </w:p>
        </w:tc>
      </w:tr>
    </w:tbl>
    <w:p>
      <w:pPr>
        <w:spacing w:after="40"/>
      </w:pPr>
    </w:p>
    <w:p>
      <w:pPr>
        <w:pStyle w:val="Heading1"/>
      </w:pPr>
      <w:r>
        <w:t>3. Backend</w:t>
      </w:r>
    </w:p>
    <w:p>
      <w:pPr>
        <w:spacing w:after="140" w:line="274" w:lineRule="auto"/>
      </w:pPr>
      <w:r>
        <w:rPr>
          <w:rFonts w:ascii="Aptos" w:hAnsi="Aptos"/>
          <w:color w:val="18302B"/>
          <w:sz w:val="21"/>
        </w:rPr>
        <w:t>Backendens uppgift är att orkestrera domänlogik, datalagring, AI-anrop, behörighet och arbetsflöden. Frontend ska inte innehålla affärskritisk logik för strategi, behörighet eller dataintegritet.</w:t>
      </w:r>
    </w:p>
    <w:p>
      <w:pPr>
        <w:pStyle w:val="ListBullet"/>
        <w:spacing w:after="60"/>
      </w:pPr>
      <w:r>
        <w:rPr>
          <w:rFonts w:ascii="Aptos" w:hAnsi="Aptos"/>
          <w:color w:val="18302B"/>
          <w:sz w:val="21"/>
        </w:rPr>
        <w:t>All skrivning av Company Brain ska gå via validerade serverprocesser.</w:t>
      </w:r>
    </w:p>
    <w:p>
      <w:pPr>
        <w:pStyle w:val="ListBullet"/>
        <w:spacing w:after="60"/>
      </w:pPr>
      <w:r>
        <w:rPr>
          <w:rFonts w:ascii="Aptos" w:hAnsi="Aptos"/>
          <w:color w:val="18302B"/>
          <w:sz w:val="21"/>
        </w:rPr>
        <w:t>AI-anrop ska initieras server-side så att nycklar, modellval och kostnadskontroll inte exponeras i klienten.</w:t>
      </w:r>
    </w:p>
    <w:p>
      <w:pPr>
        <w:pStyle w:val="ListBullet"/>
        <w:spacing w:after="60"/>
      </w:pPr>
      <w:r>
        <w:rPr>
          <w:rFonts w:ascii="Aptos" w:hAnsi="Aptos"/>
          <w:color w:val="18302B"/>
          <w:sz w:val="21"/>
        </w:rPr>
        <w:t>Strategy Context ska skapas, versionssättas och låsas per körning eller kampanj.</w:t>
      </w:r>
    </w:p>
    <w:p>
      <w:pPr>
        <w:pStyle w:val="ListBullet"/>
        <w:spacing w:after="60"/>
      </w:pPr>
      <w:r>
        <w:rPr>
          <w:rFonts w:ascii="Aptos" w:hAnsi="Aptos"/>
          <w:color w:val="18302B"/>
          <w:sz w:val="21"/>
        </w:rPr>
        <w:t>Godkännande och publiceringsstatus ska hanteras som uttryckliga domänhändelser.</w:t>
      </w:r>
    </w:p>
    <w:p>
      <w:pPr>
        <w:pStyle w:val="ListBullet"/>
        <w:spacing w:after="60"/>
      </w:pPr>
      <w:r>
        <w:rPr>
          <w:rFonts w:ascii="Aptos" w:hAnsi="Aptos"/>
          <w:color w:val="18302B"/>
          <w:sz w:val="21"/>
        </w:rPr>
        <w:t>Demo- och produktionsdata ska hållas strikt separerade.</w:t>
      </w:r>
    </w:p>
    <w:p>
      <w:pPr>
        <w:pStyle w:val="Heading2"/>
      </w:pPr>
      <w:r>
        <w:t>3.1 Serverprocesser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376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4824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Ansvar</w:t>
            </w:r>
          </w:p>
        </w:tc>
        <w:tc>
          <w:tcPr>
            <w:tcW w:type="dxa" w:w="2232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7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Company Brain write service</w:t>
            </w:r>
          </w:p>
        </w:tc>
        <w:tc>
          <w:tcPr>
            <w:tcW w:type="dxa" w:w="482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Validera, källmärka och versionssätta uppdateringar</w:t>
            </w:r>
          </w:p>
        </w:tc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Princip beslutad; implementation ej specificerad</w:t>
            </w:r>
          </w:p>
        </w:tc>
      </w:tr>
      <w:tr>
        <w:tc>
          <w:tcPr>
            <w:tcW w:type="dxa" w:w="237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Strategy orchestration</w:t>
            </w:r>
          </w:p>
        </w:tc>
        <w:tc>
          <w:tcPr>
            <w:tcW w:type="dxa" w:w="482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Samla kontext, anropa Strategist och skapa Strategy Context</w:t>
            </w:r>
          </w:p>
        </w:tc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Arkitekturriktning beslutad</w:t>
            </w:r>
          </w:p>
        </w:tc>
      </w:tr>
      <w:tr>
        <w:tc>
          <w:tcPr>
            <w:tcW w:type="dxa" w:w="237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Content generation</w:t>
            </w:r>
          </w:p>
        </w:tc>
        <w:tc>
          <w:tcPr>
            <w:tcW w:type="dxa" w:w="482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Anropa specialister med låst kontext</w:t>
            </w:r>
          </w:p>
        </w:tc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Arkitekturriktning beslutad</w:t>
            </w:r>
          </w:p>
        </w:tc>
      </w:tr>
      <w:tr>
        <w:tc>
          <w:tcPr>
            <w:tcW w:type="dxa" w:w="237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Review workflow</w:t>
            </w:r>
          </w:p>
        </w:tc>
        <w:tc>
          <w:tcPr>
            <w:tcW w:type="dxa" w:w="482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Hantera utkast, redigering, godkännande och avslag</w:t>
            </w:r>
          </w:p>
        </w:tc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Produktprincip beslutad</w:t>
            </w:r>
          </w:p>
        </w:tc>
      </w:tr>
      <w:tr>
        <w:tc>
          <w:tcPr>
            <w:tcW w:type="dxa" w:w="237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Publishing workflow</w:t>
            </w:r>
          </w:p>
        </w:tc>
        <w:tc>
          <w:tcPr>
            <w:tcW w:type="dxa" w:w="482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Schemaläggning och publicering till externa kanaler</w:t>
            </w:r>
          </w:p>
        </w:tc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Ej tekniskt specificerad</w:t>
            </w:r>
          </w:p>
        </w:tc>
      </w:tr>
      <w:tr>
        <w:tc>
          <w:tcPr>
            <w:tcW w:type="dxa" w:w="237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Learning pipeline</w:t>
            </w:r>
          </w:p>
        </w:tc>
        <w:tc>
          <w:tcPr>
            <w:tcW w:type="dxa" w:w="482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Skapa observationer från feedback och resultat</w:t>
            </w:r>
          </w:p>
        </w:tc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Koncept beslutat; teknisk modell öppen</w:t>
            </w:r>
          </w:p>
        </w:tc>
      </w:tr>
    </w:tbl>
    <w:p>
      <w:pPr>
        <w:spacing w:after="40"/>
      </w:pPr>
    </w:p>
    <w:p>
      <w:pPr>
        <w:pStyle w:val="Heading1"/>
      </w:pPr>
      <w:r>
        <w:t>4. API</w:t>
      </w:r>
    </w:p>
    <w:p>
      <w:pPr>
        <w:spacing w:after="140" w:line="274" w:lineRule="auto"/>
      </w:pPr>
      <w:r>
        <w:rPr>
          <w:rFonts w:ascii="Aptos" w:hAnsi="Aptos"/>
          <w:color w:val="18302B"/>
          <w:sz w:val="21"/>
        </w:rPr>
        <w:t>Några konkreta endpoints har inte låsts i denna arbetsyta. Följande API-principer gäller däremot för kommande design.</w:t>
      </w:r>
    </w:p>
    <w:p>
      <w:pPr>
        <w:pStyle w:val="ListBullet"/>
        <w:spacing w:after="60"/>
      </w:pPr>
      <w:r>
        <w:rPr>
          <w:rFonts w:ascii="Aptos" w:hAnsi="Aptos"/>
          <w:color w:val="18302B"/>
          <w:sz w:val="21"/>
        </w:rPr>
        <w:t>API-kontrakt ska följa domängränser, inte UI-komponenter.</w:t>
      </w:r>
    </w:p>
    <w:p>
      <w:pPr>
        <w:pStyle w:val="ListBullet"/>
        <w:spacing w:after="60"/>
      </w:pPr>
      <w:r>
        <w:rPr>
          <w:rFonts w:ascii="Aptos" w:hAnsi="Aptos"/>
          <w:color w:val="18302B"/>
          <w:sz w:val="21"/>
        </w:rPr>
        <w:t>Alla inkommande payloads ska valideras server-side.</w:t>
      </w:r>
    </w:p>
    <w:p>
      <w:pPr>
        <w:pStyle w:val="ListBullet"/>
        <w:spacing w:after="60"/>
      </w:pPr>
      <w:r>
        <w:rPr>
          <w:rFonts w:ascii="Aptos" w:hAnsi="Aptos"/>
          <w:color w:val="18302B"/>
          <w:sz w:val="21"/>
        </w:rPr>
        <w:t>Felfall ska använda stabila felkoder och mänskligt begripliga meddelanden.</w:t>
      </w:r>
    </w:p>
    <w:p>
      <w:pPr>
        <w:pStyle w:val="ListBullet"/>
        <w:spacing w:after="60"/>
      </w:pPr>
      <w:r>
        <w:rPr>
          <w:rFonts w:ascii="Aptos" w:hAnsi="Aptos"/>
          <w:color w:val="18302B"/>
          <w:sz w:val="21"/>
        </w:rPr>
        <w:t>Skrivoperationer som kan upprepas av klient eller kö ska vara idempotenta där det är relevant.</w:t>
      </w:r>
    </w:p>
    <w:p>
      <w:pPr>
        <w:pStyle w:val="ListBullet"/>
        <w:spacing w:after="60"/>
      </w:pPr>
      <w:r>
        <w:rPr>
          <w:rFonts w:ascii="Aptos" w:hAnsi="Aptos"/>
          <w:color w:val="18302B"/>
          <w:sz w:val="21"/>
        </w:rPr>
        <w:t>API-versionering ska användas när kontraktsbrott inte kan undvikas.</w:t>
      </w:r>
    </w:p>
    <w:p>
      <w:pPr>
        <w:pStyle w:val="ListBullet"/>
        <w:spacing w:after="60"/>
      </w:pPr>
      <w:r>
        <w:rPr>
          <w:rFonts w:ascii="Aptos" w:hAnsi="Aptos"/>
          <w:color w:val="18302B"/>
          <w:sz w:val="21"/>
        </w:rPr>
        <w:t>AI-resultat ska returneras med status, källa, modellmetadata och relevant konfidens - inte som anonym fri text.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432"/>
            <w:tcMar>
              <w:top w:w="150" w:type="dxa"/>
              <w:start w:w="180" w:type="dxa"/>
              <w:bottom w:w="150" w:type="dxa"/>
              <w:end w:w="180" w:type="dxa"/>
            </w:tcMar>
            <w:shd w:fill="EAF4F1"/>
          </w:tcPr>
          <w:p>
            <w:pPr>
              <w:spacing w:after="80"/>
            </w:pPr>
            <w:r>
              <w:rPr>
                <w:rFonts w:ascii="Aptos" w:hAnsi="Aptos"/>
                <w:b/>
                <w:color w:val="0F6B5B"/>
                <w:sz w:val="21"/>
              </w:rPr>
              <w:t>Öppen fråga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color w:val="18302B"/>
                <w:sz w:val="20"/>
              </w:rPr>
              <w:t>Endpointstruktur, eventkontrakt, webhookmodell och publiceringsintegrationer behöver specificeras i ett separat API Contract-dokument innan implementation.</w:t>
            </w:r>
          </w:p>
        </w:tc>
      </w:tr>
    </w:tbl>
    <w:p>
      <w:pPr>
        <w:spacing w:after="20"/>
      </w:pPr>
    </w:p>
    <w:p>
      <w:pPr>
        <w:pStyle w:val="Heading1"/>
      </w:pPr>
      <w:r>
        <w:t>5. Databas</w:t>
      </w:r>
    </w:p>
    <w:p>
      <w:pPr>
        <w:spacing w:after="140" w:line="274" w:lineRule="auto"/>
      </w:pPr>
      <w:r>
        <w:rPr>
          <w:rFonts w:ascii="Aptos" w:hAnsi="Aptos"/>
          <w:color w:val="18302B"/>
          <w:sz w:val="21"/>
        </w:rPr>
        <w:t>Databasen ska stödja multi-tenant SaaS, versionshistorik, källspårning och tydlig separation mellan verifierade fakta, observationer och AI-förslag. Company Brain får inte reduceras till ett enda ostrukturerat textfält om det försvårar validering, historik eller åtkomstkontroll.</w:t>
      </w:r>
    </w:p>
    <w:p>
      <w:pPr>
        <w:pStyle w:val="Heading2"/>
      </w:pPr>
      <w:r>
        <w:t>5.1 Centrala domäner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00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Domän</w:t>
            </w:r>
          </w:p>
        </w:tc>
        <w:tc>
          <w:tcPr>
            <w:tcW w:type="dxa" w:w="3528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Exempel på entiteter</w:t>
            </w:r>
          </w:p>
        </w:tc>
        <w:tc>
          <w:tcPr>
            <w:tcW w:type="dxa" w:w="4104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Viktiga krav</w:t>
            </w:r>
          </w:p>
        </w:tc>
      </w:tr>
      <w:tr>
        <w:tc>
          <w:tcPr>
            <w:tcW w:type="dxa" w:w="180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Tenant och identitet</w:t>
            </w:r>
          </w:p>
        </w:tc>
        <w:tc>
          <w:tcPr>
            <w:tcW w:type="dxa" w:w="352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organization, membership, user, role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Tenant-isolering, roller och ägarskap</w:t>
            </w:r>
          </w:p>
        </w:tc>
      </w:tr>
      <w:tr>
        <w:tc>
          <w:tcPr>
            <w:tcW w:type="dxa" w:w="180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Company Brain</w:t>
            </w:r>
          </w:p>
        </w:tc>
        <w:tc>
          <w:tcPr>
            <w:tcW w:type="dxa" w:w="352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company_profile, offering, audience, brand_rule, source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Källa, status, confidence, version och verifiering</w:t>
            </w:r>
          </w:p>
        </w:tc>
      </w:tr>
      <w:tr>
        <w:tc>
          <w:tcPr>
            <w:tcW w:type="dxa" w:w="180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Strategi</w:t>
            </w:r>
          </w:p>
        </w:tc>
        <w:tc>
          <w:tcPr>
            <w:tcW w:type="dxa" w:w="352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strategy_run, strategy_context, recommendation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Reproducerbarhet och versionskoppling</w:t>
            </w:r>
          </w:p>
        </w:tc>
      </w:tr>
      <w:tr>
        <w:tc>
          <w:tcPr>
            <w:tcW w:type="dxa" w:w="180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Kampanj</w:t>
            </w:r>
          </w:p>
        </w:tc>
        <w:tc>
          <w:tcPr>
            <w:tcW w:type="dxa" w:w="352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campaign, objective, channel_plan, schedule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Livscykel och relation till strategi</w:t>
            </w:r>
          </w:p>
        </w:tc>
      </w:tr>
      <w:tr>
        <w:tc>
          <w:tcPr>
            <w:tcW w:type="dxa" w:w="180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Innehåll</w:t>
            </w:r>
          </w:p>
        </w:tc>
        <w:tc>
          <w:tcPr>
            <w:tcW w:type="dxa" w:w="352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content_item, content_version, asset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Utkast, redigering, godkännande och publicering</w:t>
            </w:r>
          </w:p>
        </w:tc>
      </w:tr>
      <w:tr>
        <w:tc>
          <w:tcPr>
            <w:tcW w:type="dxa" w:w="180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Feedback</w:t>
            </w:r>
          </w:p>
        </w:tc>
        <w:tc>
          <w:tcPr>
            <w:tcW w:type="dxa" w:w="352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approval, edit_delta, rejection_reason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Spårbar användaråterkoppling</w:t>
            </w:r>
          </w:p>
        </w:tc>
      </w:tr>
      <w:tr>
        <w:tc>
          <w:tcPr>
            <w:tcW w:type="dxa" w:w="180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Lärande</w:t>
            </w:r>
          </w:p>
        </w:tc>
        <w:tc>
          <w:tcPr>
            <w:tcW w:type="dxa" w:w="352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observation, performance_signal, confidence_change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Får inte blandas ihop med verifierade fakta</w:t>
            </w:r>
          </w:p>
        </w:tc>
      </w:tr>
    </w:tbl>
    <w:p>
      <w:pPr>
        <w:spacing w:after="40"/>
      </w:pPr>
    </w:p>
    <w:p>
      <w:pPr>
        <w:pStyle w:val="Heading2"/>
      </w:pPr>
      <w:r>
        <w:t>5.2 Källor och konfidens</w:t>
      </w:r>
    </w:p>
    <w:p>
      <w:pPr>
        <w:spacing w:after="140" w:line="274" w:lineRule="auto"/>
      </w:pPr>
      <w:r>
        <w:rPr>
          <w:rFonts w:ascii="Aptos" w:hAnsi="Aptos"/>
          <w:color w:val="18302B"/>
          <w:sz w:val="21"/>
        </w:rPr>
        <w:t>Den tidigare riktningen för Company Brain 1.1 använder källkategorierna user_confirmed, website_extracted, campaign_learned och ai_suggested samt en konfidensnivå. Den principen är fortsatt relevant. Källtyp, skapad tid, skapare, verifieringsstatus och historik ska följa varje kunskapsobjekt.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72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Källa</w:t>
            </w:r>
          </w:p>
        </w:tc>
        <w:tc>
          <w:tcPr>
            <w:tcW w:type="dxa" w:w="3384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Betydelse</w:t>
            </w:r>
          </w:p>
        </w:tc>
        <w:tc>
          <w:tcPr>
            <w:tcW w:type="dxa" w:w="4176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Standardhantering</w:t>
            </w:r>
          </w:p>
        </w:tc>
      </w:tr>
      <w:tr>
        <w:tc>
          <w:tcPr>
            <w:tcW w:type="dxa" w:w="18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user_confirmed</w:t>
            </w:r>
          </w:p>
        </w:tc>
        <w:tc>
          <w:tcPr>
            <w:tcW w:type="dxa" w:w="338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Uppgift som användaren uttryckligen har bekräftat</w:t>
            </w:r>
          </w:p>
        </w:tc>
        <w:tc>
          <w:tcPr>
            <w:tcW w:type="dxa" w:w="417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Kan användas som primär företagsfakta</w:t>
            </w:r>
          </w:p>
        </w:tc>
      </w:tr>
      <w:tr>
        <w:tc>
          <w:tcPr>
            <w:tcW w:type="dxa" w:w="18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website_extracted</w:t>
            </w:r>
          </w:p>
        </w:tc>
        <w:tc>
          <w:tcPr>
            <w:tcW w:type="dxa" w:w="338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Information extraherad från företagets webbplats</w:t>
            </w:r>
          </w:p>
        </w:tc>
        <w:tc>
          <w:tcPr>
            <w:tcW w:type="dxa" w:w="417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Kräver källreferens och kan behöva verifiering</w:t>
            </w:r>
          </w:p>
        </w:tc>
      </w:tr>
      <w:tr>
        <w:tc>
          <w:tcPr>
            <w:tcW w:type="dxa" w:w="18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campaign_learned</w:t>
            </w:r>
          </w:p>
        </w:tc>
        <w:tc>
          <w:tcPr>
            <w:tcW w:type="dxa" w:w="338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Observation från kampanjhistorik eller användarbeteende</w:t>
            </w:r>
          </w:p>
        </w:tc>
        <w:tc>
          <w:tcPr>
            <w:tcW w:type="dxa" w:w="417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Sparas som lärande, inte som obestridlig fakta</w:t>
            </w:r>
          </w:p>
        </w:tc>
      </w:tr>
      <w:tr>
        <w:tc>
          <w:tcPr>
            <w:tcW w:type="dxa" w:w="18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ai_suggested</w:t>
            </w:r>
          </w:p>
        </w:tc>
        <w:tc>
          <w:tcPr>
            <w:tcW w:type="dxa" w:w="3384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AI-genererat förslag eller inferens</w:t>
            </w:r>
          </w:p>
        </w:tc>
        <w:tc>
          <w:tcPr>
            <w:tcW w:type="dxa" w:w="417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Får inte behandlas som verifierad fakta före godkännande</w:t>
            </w:r>
          </w:p>
        </w:tc>
      </w:tr>
    </w:tbl>
    <w:p>
      <w:pPr>
        <w:spacing w:after="40"/>
      </w:pPr>
    </w:p>
    <w:p>
      <w:pPr>
        <w:pStyle w:val="Heading1"/>
      </w:pPr>
      <w:r>
        <w:t>6. Supabase</w:t>
      </w:r>
    </w:p>
    <w:p>
      <w:pPr>
        <w:spacing w:after="140" w:line="274" w:lineRule="auto"/>
      </w:pPr>
      <w:r>
        <w:rPr>
          <w:rFonts w:ascii="Aptos" w:hAnsi="Aptos"/>
          <w:color w:val="18302B"/>
          <w:sz w:val="21"/>
        </w:rPr>
        <w:t>Marketing Copilot har använt Supabase som databas- och backendplattform. I denna chatt finns inte en fullständig aktuell schema- eller driftbeskrivning. Följande arkitekturprinciper ska därför betraktas som styrande, medan faktisk projektstatus behöver verifieras i Development och i Supabase-miljön.</w:t>
      </w:r>
    </w:p>
    <w:p>
      <w:pPr>
        <w:pStyle w:val="ListBullet"/>
        <w:spacing w:after="60"/>
      </w:pPr>
      <w:r>
        <w:rPr>
          <w:rFonts w:ascii="Aptos" w:hAnsi="Aptos"/>
          <w:color w:val="18302B"/>
          <w:sz w:val="21"/>
        </w:rPr>
        <w:t>PostgreSQL är den primära datalagringen.</w:t>
      </w:r>
    </w:p>
    <w:p>
      <w:pPr>
        <w:pStyle w:val="ListBullet"/>
        <w:spacing w:after="60"/>
      </w:pPr>
      <w:r>
        <w:rPr>
          <w:rFonts w:ascii="Aptos" w:hAnsi="Aptos"/>
          <w:color w:val="18302B"/>
          <w:sz w:val="21"/>
        </w:rPr>
        <w:t>Supabase Auth kan användas för autentisering, men behörighet ska även verkställas i databasen.</w:t>
      </w:r>
    </w:p>
    <w:p>
      <w:pPr>
        <w:pStyle w:val="ListBullet"/>
        <w:spacing w:after="60"/>
      </w:pPr>
      <w:r>
        <w:rPr>
          <w:rFonts w:ascii="Aptos" w:hAnsi="Aptos"/>
          <w:color w:val="18302B"/>
          <w:sz w:val="21"/>
        </w:rPr>
        <w:t>Row Level Security ska vara aktiverad för tenantbunden data.</w:t>
      </w:r>
    </w:p>
    <w:p>
      <w:pPr>
        <w:pStyle w:val="ListBullet"/>
        <w:spacing w:after="60"/>
      </w:pPr>
      <w:r>
        <w:rPr>
          <w:rFonts w:ascii="Aptos" w:hAnsi="Aptos"/>
          <w:color w:val="18302B"/>
          <w:sz w:val="21"/>
        </w:rPr>
        <w:t>Storage ska använda tenantbundna sökvägar och behörighetspolicyer.</w:t>
      </w:r>
    </w:p>
    <w:p>
      <w:pPr>
        <w:pStyle w:val="ListBullet"/>
        <w:spacing w:after="60"/>
      </w:pPr>
      <w:r>
        <w:rPr>
          <w:rFonts w:ascii="Aptos" w:hAnsi="Aptos"/>
          <w:color w:val="18302B"/>
          <w:sz w:val="21"/>
        </w:rPr>
        <w:t>Migreringar ska vara versionsstyrda, reproducerbara och icke-destruktiva som standard.</w:t>
      </w:r>
    </w:p>
    <w:p>
      <w:pPr>
        <w:pStyle w:val="ListBullet"/>
        <w:spacing w:after="60"/>
      </w:pPr>
      <w:r>
        <w:rPr>
          <w:rFonts w:ascii="Aptos" w:hAnsi="Aptos"/>
          <w:color w:val="18302B"/>
          <w:sz w:val="21"/>
        </w:rPr>
        <w:t>Separata miljöer ska finnas för lokal utveckling, test/staging och produktion.</w:t>
      </w:r>
    </w:p>
    <w:p>
      <w:pPr>
        <w:pStyle w:val="ListBullet"/>
        <w:spacing w:after="60"/>
      </w:pPr>
      <w:r>
        <w:rPr>
          <w:rFonts w:ascii="Aptos" w:hAnsi="Aptos"/>
          <w:color w:val="18302B"/>
          <w:sz w:val="21"/>
        </w:rPr>
        <w:t>Supabase-projektet har tidigare varit pausat; aktuell driftstatus måste verifieras före fortsatt implementation.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432"/>
            <w:tcMar>
              <w:top w:w="150" w:type="dxa"/>
              <w:start w:w="180" w:type="dxa"/>
              <w:bottom w:w="150" w:type="dxa"/>
              <w:end w:w="180" w:type="dxa"/>
            </w:tcMar>
            <w:shd w:fill="EAF4F1"/>
          </w:tcPr>
          <w:p>
            <w:pPr>
              <w:spacing w:after="80"/>
            </w:pPr>
            <w:r>
              <w:rPr>
                <w:rFonts w:ascii="Aptos" w:hAnsi="Aptos"/>
                <w:b/>
                <w:color w:val="0F6B5B"/>
                <w:sz w:val="21"/>
              </w:rPr>
              <w:t>Viktigt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color w:val="18302B"/>
                <w:sz w:val="20"/>
              </w:rPr>
              <w:t>Ingen destruktiv migrering får genomföras utan uttryckligt godkännande och dokumenterad återställningsplan. Main branch ska aldrig ändras direkt.</w:t>
            </w:r>
          </w:p>
        </w:tc>
      </w:tr>
    </w:tbl>
    <w:p>
      <w:pPr>
        <w:spacing w:after="20"/>
      </w:pPr>
    </w:p>
    <w:p>
      <w:pPr>
        <w:pStyle w:val="Heading1"/>
      </w:pPr>
      <w:r>
        <w:t>7. Säkerhet</w:t>
      </w:r>
    </w:p>
    <w:p>
      <w:pPr>
        <w:spacing w:after="140" w:line="274" w:lineRule="auto"/>
      </w:pPr>
      <w:r>
        <w:rPr>
          <w:rFonts w:ascii="Aptos" w:hAnsi="Aptos"/>
          <w:color w:val="18302B"/>
          <w:sz w:val="21"/>
        </w:rPr>
        <w:t>Säkerhetsmodellen ska byggas runt tenant-isolering, minsta privilegium och mänsklig kontroll över externa åtgärder. AI-funktionalitet får inte kringgå samma behörighetsmodell som övriga backendprocesser.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88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Område</w:t>
            </w:r>
          </w:p>
        </w:tc>
        <w:tc>
          <w:tcPr>
            <w:tcW w:type="dxa" w:w="7343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Krav</w:t>
            </w:r>
          </w:p>
        </w:tc>
      </w:tr>
      <w:tr>
        <w:tc>
          <w:tcPr>
            <w:tcW w:type="dxa" w:w="208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Autentisering</w:t>
            </w:r>
          </w:p>
        </w:tc>
        <w:tc>
          <w:tcPr>
            <w:tcW w:type="dxa" w:w="7343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Säkra sessioner, verifierad användaridentitet och tydlig sessionshantering.</w:t>
            </w:r>
          </w:p>
        </w:tc>
      </w:tr>
      <w:tr>
        <w:tc>
          <w:tcPr>
            <w:tcW w:type="dxa" w:w="208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Auktorisering</w:t>
            </w:r>
          </w:p>
        </w:tc>
        <w:tc>
          <w:tcPr>
            <w:tcW w:type="dxa" w:w="7343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Roll- och tenantkontroll i serverlager samt RLS i databasen.</w:t>
            </w:r>
          </w:p>
        </w:tc>
      </w:tr>
      <w:tr>
        <w:tc>
          <w:tcPr>
            <w:tcW w:type="dxa" w:w="208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Tenant-isolering</w:t>
            </w:r>
          </w:p>
        </w:tc>
        <w:tc>
          <w:tcPr>
            <w:tcW w:type="dxa" w:w="7343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Varje fråga och skrivning måste vara bunden till organization_id eller motsvarande.</w:t>
            </w:r>
          </w:p>
        </w:tc>
      </w:tr>
      <w:tr>
        <w:tc>
          <w:tcPr>
            <w:tcW w:type="dxa" w:w="208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Hemligheter</w:t>
            </w:r>
          </w:p>
        </w:tc>
        <w:tc>
          <w:tcPr>
            <w:tcW w:type="dxa" w:w="7343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API-nycklar och tokens får endast finnas server-side i säkra miljövariabler.</w:t>
            </w:r>
          </w:p>
        </w:tc>
      </w:tr>
      <w:tr>
        <w:tc>
          <w:tcPr>
            <w:tcW w:type="dxa" w:w="208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Dataskydd</w:t>
            </w:r>
          </w:p>
        </w:tc>
        <w:tc>
          <w:tcPr>
            <w:tcW w:type="dxa" w:w="7343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Minimerad datainsamling, loggkontroll och tydliga retentionregler.</w:t>
            </w:r>
          </w:p>
        </w:tc>
      </w:tr>
      <w:tr>
        <w:tc>
          <w:tcPr>
            <w:tcW w:type="dxa" w:w="208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AI-säkerhet</w:t>
            </w:r>
          </w:p>
        </w:tc>
        <w:tc>
          <w:tcPr>
            <w:tcW w:type="dxa" w:w="7343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AI får inte skriva över verifierade fakta eller publicera utan tillåten workflow-status.</w:t>
            </w:r>
          </w:p>
        </w:tc>
      </w:tr>
      <w:tr>
        <w:tc>
          <w:tcPr>
            <w:tcW w:type="dxa" w:w="208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Demo/produktion</w:t>
            </w:r>
          </w:p>
        </w:tc>
        <w:tc>
          <w:tcPr>
            <w:tcW w:type="dxa" w:w="7343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Ingen produktionsoperation får kunna initieras av demonstrationsdata eller demoidentitet.</w:t>
            </w:r>
          </w:p>
        </w:tc>
      </w:tr>
    </w:tbl>
    <w:p>
      <w:pPr>
        <w:spacing w:after="40"/>
      </w:pPr>
    </w:p>
    <w:p>
      <w:pPr>
        <w:pStyle w:val="Heading2"/>
      </w:pPr>
      <w:r>
        <w:t>7.1 Publiceringskontroll</w:t>
      </w:r>
    </w:p>
    <w:p>
      <w:pPr>
        <w:spacing w:after="140" w:line="274" w:lineRule="auto"/>
      </w:pPr>
      <w:r>
        <w:rPr>
          <w:rFonts w:ascii="Aptos" w:hAnsi="Aptos"/>
          <w:color w:val="18302B"/>
          <w:sz w:val="21"/>
        </w:rPr>
        <w:t>Review Mode är standard för nya kunder. AI:n får skapa och schemalägga förslag, men publicering kräver mänskligt godkännande. Trusted AI och Full Autopilot är framtida, uttryckligen valbara nivåer och får inte aktiveras enbart utifrån en intern confidence score.</w:t>
      </w:r>
    </w:p>
    <w:p>
      <w:pPr>
        <w:pStyle w:val="Heading1"/>
      </w:pPr>
      <w:r>
        <w:t>8. Skalbarhet</w:t>
      </w:r>
    </w:p>
    <w:p>
      <w:pPr>
        <w:spacing w:after="140" w:line="274" w:lineRule="auto"/>
      </w:pPr>
      <w:r>
        <w:rPr>
          <w:rFonts w:ascii="Aptos" w:hAnsi="Aptos"/>
          <w:color w:val="18302B"/>
          <w:sz w:val="21"/>
        </w:rPr>
        <w:t>Skalbarhet ska bedömas på tre nivåer: databas och tenantmodell, AI-kostnad och genomströmning samt organisatorisk utbyggnad med fler specialister och kanaler.</w:t>
      </w:r>
    </w:p>
    <w:p>
      <w:pPr>
        <w:pStyle w:val="ListBullet"/>
        <w:spacing w:after="60"/>
      </w:pPr>
      <w:r>
        <w:rPr>
          <w:rFonts w:ascii="Aptos" w:hAnsi="Aptos"/>
          <w:color w:val="18302B"/>
          <w:sz w:val="21"/>
        </w:rPr>
        <w:t>Multi-tenant-modellen ska vara förstahandsdesign, inte en efterhandsmigrering.</w:t>
      </w:r>
    </w:p>
    <w:p>
      <w:pPr>
        <w:pStyle w:val="ListBullet"/>
        <w:spacing w:after="60"/>
      </w:pPr>
      <w:r>
        <w:rPr>
          <w:rFonts w:ascii="Aptos" w:hAnsi="Aptos"/>
          <w:color w:val="18302B"/>
          <w:sz w:val="21"/>
        </w:rPr>
        <w:t>AI-anrop ska kunna köas, återförsökas och budgeteras per tenant.</w:t>
      </w:r>
    </w:p>
    <w:p>
      <w:pPr>
        <w:pStyle w:val="ListBullet"/>
        <w:spacing w:after="60"/>
      </w:pPr>
      <w:r>
        <w:rPr>
          <w:rFonts w:ascii="Aptos" w:hAnsi="Aptos"/>
          <w:color w:val="18302B"/>
          <w:sz w:val="21"/>
        </w:rPr>
        <w:t>Långa processer bör flyttas till asynkrona jobb med statusspårning.</w:t>
      </w:r>
    </w:p>
    <w:p>
      <w:pPr>
        <w:pStyle w:val="ListBullet"/>
        <w:spacing w:after="60"/>
      </w:pPr>
      <w:r>
        <w:rPr>
          <w:rFonts w:ascii="Aptos" w:hAnsi="Aptos"/>
          <w:color w:val="18302B"/>
          <w:sz w:val="21"/>
        </w:rPr>
        <w:t>Prompt- och strategiresultat bör cachelagras när underlaget är oförändrat.</w:t>
      </w:r>
    </w:p>
    <w:p>
      <w:pPr>
        <w:pStyle w:val="ListBullet"/>
        <w:spacing w:after="60"/>
      </w:pPr>
      <w:r>
        <w:rPr>
          <w:rFonts w:ascii="Aptos" w:hAnsi="Aptos"/>
          <w:color w:val="18302B"/>
          <w:sz w:val="21"/>
        </w:rPr>
        <w:t>Observability ska täcka fel, säkerhet, teknisk felsökning, miljöidentifiering och demo/produktion.</w:t>
      </w:r>
    </w:p>
    <w:p>
      <w:pPr>
        <w:pStyle w:val="ListBullet"/>
        <w:spacing w:after="60"/>
      </w:pPr>
      <w:r>
        <w:rPr>
          <w:rFonts w:ascii="Aptos" w:hAnsi="Aptos"/>
          <w:color w:val="18302B"/>
          <w:sz w:val="21"/>
        </w:rPr>
        <w:t>Nya specialister ska kunna läggas till genom stabila input/output-kontrakt utan att duplicera Strategist-logik.</w:t>
      </w:r>
    </w:p>
    <w:p>
      <w:pPr>
        <w:pStyle w:val="ListBullet"/>
        <w:spacing w:after="60"/>
      </w:pPr>
      <w:r>
        <w:rPr>
          <w:rFonts w:ascii="Aptos" w:hAnsi="Aptos"/>
          <w:color w:val="18302B"/>
          <w:sz w:val="21"/>
        </w:rPr>
        <w:t>Internationell skalbarhet kräver separering av språk, marknad, juridik och kanalregler från kärnlogiken.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432"/>
            <w:tcMar>
              <w:top w:w="150" w:type="dxa"/>
              <w:start w:w="180" w:type="dxa"/>
              <w:bottom w:w="150" w:type="dxa"/>
              <w:end w:w="180" w:type="dxa"/>
            </w:tcMar>
            <w:shd w:fill="EAF4F1"/>
          </w:tcPr>
          <w:p>
            <w:pPr>
              <w:spacing w:after="80"/>
            </w:pPr>
            <w:r>
              <w:rPr>
                <w:rFonts w:ascii="Aptos" w:hAnsi="Aptos"/>
                <w:b/>
                <w:color w:val="0F6B5B"/>
                <w:sz w:val="21"/>
              </w:rPr>
              <w:t>Sprint 1-begränsning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color w:val="18302B"/>
                <w:sz w:val="20"/>
              </w:rPr>
              <w:t>Fullständig produktanalys och eventtaxonomi har tidigare beslutats ligga utanför Dashboard Sprint 1. Endast tekniskt nödvändig observability ingår där.</w:t>
            </w:r>
          </w:p>
        </w:tc>
      </w:tr>
    </w:tbl>
    <w:p>
      <w:pPr>
        <w:spacing w:after="20"/>
      </w:pPr>
    </w:p>
    <w:p>
      <w:pPr>
        <w:pStyle w:val="Heading1"/>
      </w:pPr>
      <w:r>
        <w:t>9. Tekniska principer</w:t>
      </w:r>
    </w:p>
    <w:p>
      <w:pPr>
        <w:spacing w:after="100" w:line="264" w:lineRule="auto"/>
      </w:pPr>
      <w:r>
        <w:rPr>
          <w:rFonts w:ascii="Aptos" w:hAnsi="Aptos"/>
          <w:b/>
          <w:color w:val="0F6B5B"/>
          <w:sz w:val="21"/>
        </w:rPr>
        <w:t xml:space="preserve">Company Brain är primär sanningskälla: </w:t>
      </w:r>
      <w:r>
        <w:rPr>
          <w:rFonts w:ascii="Aptos" w:hAnsi="Aptos"/>
          <w:color w:val="18302B"/>
          <w:sz w:val="21"/>
        </w:rPr>
        <w:t>Strategi och innehåll ska hämta företagsfakta härifrån. Andra lager får inte skapa parallella sanningar.</w:t>
      </w:r>
    </w:p>
    <w:p>
      <w:pPr>
        <w:spacing w:after="100" w:line="264" w:lineRule="auto"/>
      </w:pPr>
      <w:r>
        <w:rPr>
          <w:rFonts w:ascii="Aptos" w:hAnsi="Aptos"/>
          <w:b/>
          <w:color w:val="0F6B5B"/>
          <w:sz w:val="21"/>
        </w:rPr>
        <w:t xml:space="preserve">Strategi före innehåll: </w:t>
      </w:r>
      <w:r>
        <w:rPr>
          <w:rFonts w:ascii="Aptos" w:hAnsi="Aptos"/>
          <w:color w:val="18302B"/>
          <w:sz w:val="21"/>
        </w:rPr>
        <w:t>Ingen specialist ska producera slutligt innehåll utan ett Strategy Context eller motsvarande låst underlag.</w:t>
      </w:r>
    </w:p>
    <w:p>
      <w:pPr>
        <w:spacing w:after="100" w:line="264" w:lineRule="auto"/>
      </w:pPr>
      <w:r>
        <w:rPr>
          <w:rFonts w:ascii="Aptos" w:hAnsi="Aptos"/>
          <w:b/>
          <w:color w:val="0F6B5B"/>
          <w:sz w:val="21"/>
        </w:rPr>
        <w:t xml:space="preserve">En motor tänker, flera specialister utför: </w:t>
      </w:r>
      <w:r>
        <w:rPr>
          <w:rFonts w:ascii="Aptos" w:hAnsi="Aptos"/>
          <w:color w:val="18302B"/>
          <w:sz w:val="21"/>
        </w:rPr>
        <w:t>Marketing Strategist äger prioritering och kanalövergripande beslut. Specialister äger format och kvalitet inom sin kanal.</w:t>
      </w:r>
    </w:p>
    <w:p>
      <w:pPr>
        <w:spacing w:after="100" w:line="264" w:lineRule="auto"/>
      </w:pPr>
      <w:r>
        <w:rPr>
          <w:rFonts w:ascii="Aptos" w:hAnsi="Aptos"/>
          <w:b/>
          <w:color w:val="0F6B5B"/>
          <w:sz w:val="21"/>
        </w:rPr>
        <w:t xml:space="preserve">Kontrollerade uppdateringar: </w:t>
      </w:r>
      <w:r>
        <w:rPr>
          <w:rFonts w:ascii="Aptos" w:hAnsi="Aptos"/>
          <w:color w:val="18302B"/>
          <w:sz w:val="21"/>
        </w:rPr>
        <w:t>Feedback och lärande skapar observationer. Verifierade fakta ändras genom en separat validerad process.</w:t>
      </w:r>
    </w:p>
    <w:p>
      <w:pPr>
        <w:spacing w:after="100" w:line="264" w:lineRule="auto"/>
      </w:pPr>
      <w:r>
        <w:rPr>
          <w:rFonts w:ascii="Aptos" w:hAnsi="Aptos"/>
          <w:b/>
          <w:color w:val="0F6B5B"/>
          <w:sz w:val="21"/>
        </w:rPr>
        <w:t xml:space="preserve">Human in the loop: </w:t>
      </w:r>
      <w:r>
        <w:rPr>
          <w:rFonts w:ascii="Aptos" w:hAnsi="Aptos"/>
          <w:color w:val="18302B"/>
          <w:sz w:val="21"/>
        </w:rPr>
        <w:t>Extern publicering och andra irreversibla åtgärder kräver godkännande tills användaren uttryckligen valt annat.</w:t>
      </w:r>
    </w:p>
    <w:p>
      <w:pPr>
        <w:spacing w:after="100" w:line="264" w:lineRule="auto"/>
      </w:pPr>
      <w:r>
        <w:rPr>
          <w:rFonts w:ascii="Aptos" w:hAnsi="Aptos"/>
          <w:b/>
          <w:color w:val="0F6B5B"/>
          <w:sz w:val="21"/>
        </w:rPr>
        <w:t xml:space="preserve">Inga tillfälliga arkitekturer: </w:t>
      </w:r>
      <w:r>
        <w:rPr>
          <w:rFonts w:ascii="Aptos" w:hAnsi="Aptos"/>
          <w:color w:val="18302B"/>
          <w:sz w:val="21"/>
        </w:rPr>
        <w:t>Snabba lösningar får inte skapa dolda beroenden eller bryta domängränser.</w:t>
      </w:r>
    </w:p>
    <w:p>
      <w:pPr>
        <w:spacing w:after="100" w:line="264" w:lineRule="auto"/>
      </w:pPr>
      <w:r>
        <w:rPr>
          <w:rFonts w:ascii="Aptos" w:hAnsi="Aptos"/>
          <w:b/>
          <w:color w:val="0F6B5B"/>
          <w:sz w:val="21"/>
        </w:rPr>
        <w:t xml:space="preserve">Icke-destruktiva förändringar: </w:t>
      </w:r>
      <w:r>
        <w:rPr>
          <w:rFonts w:ascii="Aptos" w:hAnsi="Aptos"/>
          <w:color w:val="18302B"/>
          <w:sz w:val="21"/>
        </w:rPr>
        <w:t>Databasförändringar ska vara bakåtkompatibla eller ha uttryckligt godkänd migreringsplan.</w:t>
      </w:r>
    </w:p>
    <w:p>
      <w:pPr>
        <w:spacing w:after="100" w:line="264" w:lineRule="auto"/>
      </w:pPr>
      <w:r>
        <w:rPr>
          <w:rFonts w:ascii="Aptos" w:hAnsi="Aptos"/>
          <w:b/>
          <w:color w:val="0F6B5B"/>
          <w:sz w:val="21"/>
        </w:rPr>
        <w:t xml:space="preserve">Miljö- och branchdisciplin: </w:t>
      </w:r>
      <w:r>
        <w:rPr>
          <w:rFonts w:ascii="Aptos" w:hAnsi="Aptos"/>
          <w:color w:val="18302B"/>
          <w:sz w:val="21"/>
        </w:rPr>
        <w:t>Main ändras aldrig direkt. Demo-, staging- och produktionsdata ska separeras.</w:t>
      </w:r>
    </w:p>
    <w:p>
      <w:pPr>
        <w:pStyle w:val="Heading1"/>
      </w:pPr>
      <w:r>
        <w:t>10. Arkitekturbeslut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792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1152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320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Beslut</w:t>
            </w:r>
          </w:p>
        </w:tc>
        <w:tc>
          <w:tcPr>
            <w:tcW w:type="dxa" w:w="3168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Konsekvens</w:t>
            </w:r>
          </w:p>
        </w:tc>
      </w:tr>
      <w:tr>
        <w:tc>
          <w:tcPr>
            <w:tcW w:type="dxa" w:w="79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AR-01</w:t>
            </w:r>
          </w:p>
        </w:tc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Beslutat</w:t>
            </w:r>
          </w:p>
        </w:tc>
        <w:tc>
          <w:tcPr>
            <w:tcW w:type="dxa" w:w="432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Company Brain är primär sanningskälla.</w:t>
            </w:r>
          </w:p>
        </w:tc>
        <w:tc>
          <w:tcPr>
            <w:tcW w:type="dxa" w:w="316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All strategi och generering måste använda källmärkt företagskontext.</w:t>
            </w:r>
          </w:p>
        </w:tc>
      </w:tr>
      <w:tr>
        <w:tc>
          <w:tcPr>
            <w:tcW w:type="dxa" w:w="79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AR-02</w:t>
            </w:r>
          </w:p>
        </w:tc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Beslutat</w:t>
            </w:r>
          </w:p>
        </w:tc>
        <w:tc>
          <w:tcPr>
            <w:tcW w:type="dxa" w:w="432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Marketing Strategist är enda strategiska beslutsmotor.</w:t>
            </w:r>
          </w:p>
        </w:tc>
        <w:tc>
          <w:tcPr>
            <w:tcW w:type="dxa" w:w="316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Specialister får inte fatta egna kanalövergripande beslut.</w:t>
            </w:r>
          </w:p>
        </w:tc>
      </w:tr>
      <w:tr>
        <w:tc>
          <w:tcPr>
            <w:tcW w:type="dxa" w:w="79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AR-03</w:t>
            </w:r>
          </w:p>
        </w:tc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Beslutat</w:t>
            </w:r>
          </w:p>
        </w:tc>
        <w:tc>
          <w:tcPr>
            <w:tcW w:type="dxa" w:w="432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Marketing Autopilot och Campaign Builder delar samma motor.</w:t>
            </w:r>
          </w:p>
        </w:tc>
        <w:tc>
          <w:tcPr>
            <w:tcW w:type="dxa" w:w="316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Två upplevelser, inte två duplicerade backendarkitekturer.</w:t>
            </w:r>
          </w:p>
        </w:tc>
      </w:tr>
      <w:tr>
        <w:tc>
          <w:tcPr>
            <w:tcW w:type="dxa" w:w="79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AR-04</w:t>
            </w:r>
          </w:p>
        </w:tc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Beslutat</w:t>
            </w:r>
          </w:p>
        </w:tc>
        <w:tc>
          <w:tcPr>
            <w:tcW w:type="dxa" w:w="432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Review Mode är standard.</w:t>
            </w:r>
          </w:p>
        </w:tc>
        <w:tc>
          <w:tcPr>
            <w:tcW w:type="dxa" w:w="316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Ingen automatisk publicering för nya kunder.</w:t>
            </w:r>
          </w:p>
        </w:tc>
      </w:tr>
      <w:tr>
        <w:tc>
          <w:tcPr>
            <w:tcW w:type="dxa" w:w="79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AR-05</w:t>
            </w:r>
          </w:p>
        </w:tc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Beslutat</w:t>
            </w:r>
          </w:p>
        </w:tc>
        <w:tc>
          <w:tcPr>
            <w:tcW w:type="dxa" w:w="432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Lärande får inte skriva över verifierad fakta direkt.</w:t>
            </w:r>
          </w:p>
        </w:tc>
        <w:tc>
          <w:tcPr>
            <w:tcW w:type="dxa" w:w="316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Observationer och fakta måste lagras separat.</w:t>
            </w:r>
          </w:p>
        </w:tc>
      </w:tr>
      <w:tr>
        <w:tc>
          <w:tcPr>
            <w:tcW w:type="dxa" w:w="79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AR-06</w:t>
            </w:r>
          </w:p>
        </w:tc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Beslutat</w:t>
            </w:r>
          </w:p>
        </w:tc>
        <w:tc>
          <w:tcPr>
            <w:tcW w:type="dxa" w:w="432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Källor och confidence ska följa Company Brain-data.</w:t>
            </w:r>
          </w:p>
        </w:tc>
        <w:tc>
          <w:tcPr>
            <w:tcW w:type="dxa" w:w="316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AI-resultat blir spårbara och verifierbara.</w:t>
            </w:r>
          </w:p>
        </w:tc>
      </w:tr>
      <w:tr>
        <w:tc>
          <w:tcPr>
            <w:tcW w:type="dxa" w:w="79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AR-07</w:t>
            </w:r>
          </w:p>
        </w:tc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Beslutat</w:t>
            </w:r>
          </w:p>
        </w:tc>
        <w:tc>
          <w:tcPr>
            <w:tcW w:type="dxa" w:w="432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Ingen destruktiv migrering utan uttryckligt godkännande.</w:t>
            </w:r>
          </w:p>
        </w:tc>
        <w:tc>
          <w:tcPr>
            <w:tcW w:type="dxa" w:w="316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Schemaförändringar kräver plan och rollback.</w:t>
            </w:r>
          </w:p>
        </w:tc>
      </w:tr>
      <w:tr>
        <w:tc>
          <w:tcPr>
            <w:tcW w:type="dxa" w:w="79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AR-08</w:t>
            </w:r>
          </w:p>
        </w:tc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Föreslaget</w:t>
            </w:r>
          </w:p>
        </w:tc>
        <w:tc>
          <w:tcPr>
            <w:tcW w:type="dxa" w:w="432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Trusted AI och Full Autopilot som framtida nivåer.</w:t>
            </w:r>
          </w:p>
        </w:tc>
        <w:tc>
          <w:tcPr>
            <w:tcW w:type="dxa" w:w="316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Kräver policy, riskmodell och tydligt användarval.</w:t>
            </w:r>
          </w:p>
        </w:tc>
      </w:tr>
      <w:tr>
        <w:tc>
          <w:tcPr>
            <w:tcW w:type="dxa" w:w="79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AR-09</w:t>
            </w:r>
          </w:p>
        </w:tc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Öppet</w:t>
            </w:r>
          </w:p>
        </w:tc>
        <w:tc>
          <w:tcPr>
            <w:tcW w:type="dxa" w:w="432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Exakt multi-tenant- och API-kontrakt.</w:t>
            </w:r>
          </w:p>
        </w:tc>
        <w:tc>
          <w:tcPr>
            <w:tcW w:type="dxa" w:w="316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Blockerar säker implementation i större skala.</w:t>
            </w:r>
          </w:p>
        </w:tc>
      </w:tr>
      <w:tr>
        <w:tc>
          <w:tcPr>
            <w:tcW w:type="dxa" w:w="79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AR-10</w:t>
            </w:r>
          </w:p>
        </w:tc>
        <w:tc>
          <w:tcPr>
            <w:tcW w:type="dxa" w:w="115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Öppet</w:t>
            </w:r>
          </w:p>
        </w:tc>
        <w:tc>
          <w:tcPr>
            <w:tcW w:type="dxa" w:w="432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Jobbkö, publiceringsintegrationer och observability-stack.</w:t>
            </w:r>
          </w:p>
        </w:tc>
        <w:tc>
          <w:tcPr>
            <w:tcW w:type="dxa" w:w="316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Behöver lösas före produktion av Autopilot.</w:t>
            </w:r>
          </w:p>
        </w:tc>
      </w:tr>
    </w:tbl>
    <w:p>
      <w:pPr>
        <w:spacing w:after="40"/>
      </w:pPr>
    </w:p>
    <w:p>
      <w:pPr>
        <w:pStyle w:val="Heading1"/>
      </w:pPr>
      <w:r>
        <w:t>11. Dokument som skapats i arbetsytan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456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Dokument</w:t>
            </w:r>
          </w:p>
        </w:tc>
        <w:tc>
          <w:tcPr>
            <w:tcW w:type="dxa" w:w="1728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248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Relevans</w:t>
            </w:r>
          </w:p>
        </w:tc>
      </w:tr>
      <w:tr>
        <w:tc>
          <w:tcPr>
            <w:tcW w:type="dxa" w:w="34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Marketing Copilot - Operating Model v1.0</w:t>
            </w:r>
          </w:p>
        </w:tc>
        <w:tc>
          <w:tcPr>
            <w:tcW w:type="dxa" w:w="172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Skapad, översiktlig första version</w:t>
            </w:r>
          </w:p>
        </w:tc>
        <w:tc>
          <w:tcPr>
            <w:tcW w:type="dxa" w:w="424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Innehåller produkt- och driftsprinciper men är inte en fullständig arkitekturspecifikation.</w:t>
            </w:r>
          </w:p>
        </w:tc>
      </w:tr>
      <w:tr>
        <w:tc>
          <w:tcPr>
            <w:tcW w:type="dxa" w:w="34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Marketing Copilot - Operating System v1.0, Del 1</w:t>
            </w:r>
          </w:p>
        </w:tc>
        <w:tc>
          <w:tcPr>
            <w:tcW w:type="dxa" w:w="172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Arbetsutkast</w:t>
            </w:r>
          </w:p>
        </w:tc>
        <w:tc>
          <w:tcPr>
            <w:tcW w:type="dxa" w:w="424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Påbörjad vidareutveckling av vision, produktfilosofi och styrprinciper.</w:t>
            </w:r>
          </w:p>
        </w:tc>
      </w:tr>
      <w:tr>
        <w:tc>
          <w:tcPr>
            <w:tcW w:type="dxa" w:w="345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Architecture Workspace Summary v1.0</w:t>
            </w:r>
          </w:p>
        </w:tc>
        <w:tc>
          <w:tcPr>
            <w:tcW w:type="dxa" w:w="172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Detta dokument</w:t>
            </w:r>
          </w:p>
        </w:tc>
        <w:tc>
          <w:tcPr>
            <w:tcW w:type="dxa" w:w="4248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Överlämningsunderlag för aktuell arkitektur i denna arbetsyta.</w:t>
            </w:r>
          </w:p>
        </w:tc>
      </w:tr>
    </w:tbl>
    <w:p>
      <w:pPr>
        <w:spacing w:after="40"/>
      </w:pPr>
    </w:p>
    <w:p>
      <w:pPr>
        <w:pStyle w:val="Heading1"/>
      </w:pPr>
      <w:r>
        <w:t>12. Kända luckor och öppna frågor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440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Prioritet</w:t>
            </w:r>
          </w:p>
        </w:tc>
        <w:tc>
          <w:tcPr>
            <w:tcW w:type="dxa" w:w="3816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Öppen fråga</w:t>
            </w:r>
          </w:p>
        </w:tc>
        <w:tc>
          <w:tcPr>
            <w:tcW w:type="dxa" w:w="4176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Varför den är viktig</w:t>
            </w:r>
          </w:p>
        </w:tc>
      </w:tr>
      <w:tr>
        <w:tc>
          <w:tcPr>
            <w:tcW w:type="dxa" w:w="14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Blockerande</w:t>
            </w:r>
          </w:p>
        </w:tc>
        <w:tc>
          <w:tcPr>
            <w:tcW w:type="dxa" w:w="381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Fullständig tenantmodell och RLS-policyer</w:t>
            </w:r>
          </w:p>
        </w:tc>
        <w:tc>
          <w:tcPr>
            <w:tcW w:type="dxa" w:w="417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Krävs innan säker multi-tenant-produktion.</w:t>
            </w:r>
          </w:p>
        </w:tc>
      </w:tr>
      <w:tr>
        <w:tc>
          <w:tcPr>
            <w:tcW w:type="dxa" w:w="14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Blockerande</w:t>
            </w:r>
          </w:p>
        </w:tc>
        <w:tc>
          <w:tcPr>
            <w:tcW w:type="dxa" w:w="381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API-kontrakt och domänhändelser</w:t>
            </w:r>
          </w:p>
        </w:tc>
        <w:tc>
          <w:tcPr>
            <w:tcW w:type="dxa" w:w="417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Krävs för stabil frontend/backend-integration.</w:t>
            </w:r>
          </w:p>
        </w:tc>
      </w:tr>
      <w:tr>
        <w:tc>
          <w:tcPr>
            <w:tcW w:type="dxa" w:w="14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Blockerande</w:t>
            </w:r>
          </w:p>
        </w:tc>
        <w:tc>
          <w:tcPr>
            <w:tcW w:type="dxa" w:w="381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Company Brain datamodell v2</w:t>
            </w:r>
          </w:p>
        </w:tc>
        <w:tc>
          <w:tcPr>
            <w:tcW w:type="dxa" w:w="417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Krävs för verifiering, källor och versionshistorik.</w:t>
            </w:r>
          </w:p>
        </w:tc>
      </w:tr>
      <w:tr>
        <w:tc>
          <w:tcPr>
            <w:tcW w:type="dxa" w:w="14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Blockerande</w:t>
            </w:r>
          </w:p>
        </w:tc>
        <w:tc>
          <w:tcPr>
            <w:tcW w:type="dxa" w:w="381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Publiceringsworkflow och kanalautentisering</w:t>
            </w:r>
          </w:p>
        </w:tc>
        <w:tc>
          <w:tcPr>
            <w:tcW w:type="dxa" w:w="417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Krävs före faktisk publicering.</w:t>
            </w:r>
          </w:p>
        </w:tc>
      </w:tr>
      <w:tr>
        <w:tc>
          <w:tcPr>
            <w:tcW w:type="dxa" w:w="14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Hög</w:t>
            </w:r>
          </w:p>
        </w:tc>
        <w:tc>
          <w:tcPr>
            <w:tcW w:type="dxa" w:w="381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Jobbkö, retries och idempotens</w:t>
            </w:r>
          </w:p>
        </w:tc>
        <w:tc>
          <w:tcPr>
            <w:tcW w:type="dxa" w:w="417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Krävs för robust Autopilot och större volym.</w:t>
            </w:r>
          </w:p>
        </w:tc>
      </w:tr>
      <w:tr>
        <w:tc>
          <w:tcPr>
            <w:tcW w:type="dxa" w:w="14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Hög</w:t>
            </w:r>
          </w:p>
        </w:tc>
        <w:tc>
          <w:tcPr>
            <w:tcW w:type="dxa" w:w="381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AI-kostnadskontroll och budgetering per tenant</w:t>
            </w:r>
          </w:p>
        </w:tc>
        <w:tc>
          <w:tcPr>
            <w:tcW w:type="dxa" w:w="417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Krävs för hållbar SaaS-ekonomi.</w:t>
            </w:r>
          </w:p>
        </w:tc>
      </w:tr>
      <w:tr>
        <w:tc>
          <w:tcPr>
            <w:tcW w:type="dxa" w:w="14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Hög</w:t>
            </w:r>
          </w:p>
        </w:tc>
        <w:tc>
          <w:tcPr>
            <w:tcW w:type="dxa" w:w="381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Learning Engine-regler</w:t>
            </w:r>
          </w:p>
        </w:tc>
        <w:tc>
          <w:tcPr>
            <w:tcW w:type="dxa" w:w="417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Krävs för att undvika felaktig eller okontrollerad inlärning.</w:t>
            </w:r>
          </w:p>
        </w:tc>
      </w:tr>
      <w:tr>
        <w:tc>
          <w:tcPr>
            <w:tcW w:type="dxa" w:w="14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Medel</w:t>
            </w:r>
          </w:p>
        </w:tc>
        <w:tc>
          <w:tcPr>
            <w:tcW w:type="dxa" w:w="381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Trusted AI-policy och övergångskriterier</w:t>
            </w:r>
          </w:p>
        </w:tc>
        <w:tc>
          <w:tcPr>
            <w:tcW w:type="dxa" w:w="417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Krävs först när mer automation ska erbjudas.</w:t>
            </w:r>
          </w:p>
        </w:tc>
      </w:tr>
      <w:tr>
        <w:tc>
          <w:tcPr>
            <w:tcW w:type="dxa" w:w="144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Medel</w:t>
            </w:r>
          </w:p>
        </w:tc>
        <w:tc>
          <w:tcPr>
            <w:tcW w:type="dxa" w:w="381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Observability- och auditmodell</w:t>
            </w:r>
          </w:p>
        </w:tc>
        <w:tc>
          <w:tcPr>
            <w:tcW w:type="dxa" w:w="4176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Behövs för säker drift och felsökning.</w:t>
            </w:r>
          </w:p>
        </w:tc>
      </w:tr>
    </w:tbl>
    <w:p>
      <w:pPr>
        <w:spacing w:after="40"/>
      </w:pPr>
    </w:p>
    <w:p>
      <w:pPr>
        <w:pStyle w:val="Heading1"/>
      </w:pPr>
      <w:r>
        <w:t>13. Rekommenderade nästa steg</w:t>
      </w:r>
    </w:p>
    <w:p>
      <w:pPr>
        <w:pStyle w:val="ListNumber"/>
        <w:spacing w:after="80"/>
      </w:pPr>
      <w:r>
        <w:rPr>
          <w:rFonts w:ascii="Aptos" w:hAnsi="Aptos"/>
          <w:color w:val="18302B"/>
          <w:sz w:val="21"/>
        </w:rPr>
        <w:t>Skapa Architecture Decision Record-paket för AR-01 till AR-10 och utse ägare för varje öppet beslut.</w:t>
      </w:r>
    </w:p>
    <w:p>
      <w:pPr>
        <w:pStyle w:val="ListNumber"/>
        <w:spacing w:after="80"/>
      </w:pPr>
      <w:r>
        <w:rPr>
          <w:rFonts w:ascii="Aptos" w:hAnsi="Aptos"/>
          <w:color w:val="18302B"/>
          <w:sz w:val="21"/>
        </w:rPr>
        <w:t>Lås en multi-tenant-domänmodell med organization, membership, role och tenantbunden RLS.</w:t>
      </w:r>
    </w:p>
    <w:p>
      <w:pPr>
        <w:pStyle w:val="ListNumber"/>
        <w:spacing w:after="80"/>
      </w:pPr>
      <w:r>
        <w:rPr>
          <w:rFonts w:ascii="Aptos" w:hAnsi="Aptos"/>
          <w:color w:val="18302B"/>
          <w:sz w:val="21"/>
        </w:rPr>
        <w:t>Ta fram Company Brain Data Model v2 med källor, confidence, verifieringsstatus och versionshistorik.</w:t>
      </w:r>
    </w:p>
    <w:p>
      <w:pPr>
        <w:pStyle w:val="ListNumber"/>
        <w:spacing w:after="80"/>
      </w:pPr>
      <w:r>
        <w:rPr>
          <w:rFonts w:ascii="Aptos" w:hAnsi="Aptos"/>
          <w:color w:val="18302B"/>
          <w:sz w:val="21"/>
        </w:rPr>
        <w:t>Skapa API Contract v1.0 för Company Brain, strategi, innehåll, review och publicering.</w:t>
      </w:r>
    </w:p>
    <w:p>
      <w:pPr>
        <w:pStyle w:val="ListNumber"/>
        <w:spacing w:after="80"/>
      </w:pPr>
      <w:r>
        <w:rPr>
          <w:rFonts w:ascii="Aptos" w:hAnsi="Aptos"/>
          <w:color w:val="18302B"/>
          <w:sz w:val="21"/>
        </w:rPr>
        <w:t>Definiera Strategy Context Schema v1.0 som stabilt kontrakt mellan Strategist och specialister.</w:t>
      </w:r>
    </w:p>
    <w:p>
      <w:pPr>
        <w:pStyle w:val="ListNumber"/>
        <w:spacing w:after="80"/>
      </w:pPr>
      <w:r>
        <w:rPr>
          <w:rFonts w:ascii="Aptos" w:hAnsi="Aptos"/>
          <w:color w:val="18302B"/>
          <w:sz w:val="21"/>
        </w:rPr>
        <w:t>Specificera Review Workflow State Machine inklusive draft, ready_for_review, approved, rejected, scheduled och published.</w:t>
      </w:r>
    </w:p>
    <w:p>
      <w:pPr>
        <w:pStyle w:val="ListNumber"/>
        <w:spacing w:after="80"/>
      </w:pPr>
      <w:r>
        <w:rPr>
          <w:rFonts w:ascii="Aptos" w:hAnsi="Aptos"/>
          <w:color w:val="18302B"/>
          <w:sz w:val="21"/>
        </w:rPr>
        <w:t>Besluta jobbkö, retry-policy, idempotency keys och kostnadsbudgetering för AI-anrop.</w:t>
      </w:r>
    </w:p>
    <w:p>
      <w:pPr>
        <w:pStyle w:val="ListNumber"/>
        <w:spacing w:after="80"/>
      </w:pPr>
      <w:r>
        <w:rPr>
          <w:rFonts w:ascii="Aptos" w:hAnsi="Aptos"/>
          <w:color w:val="18302B"/>
          <w:sz w:val="21"/>
        </w:rPr>
        <w:t>Ta fram Security Architecture v1.0 med tenant-isolering, RLS, secrets, audit och demo/produktion.</w:t>
      </w:r>
    </w:p>
    <w:p>
      <w:pPr>
        <w:pStyle w:val="ListNumber"/>
        <w:spacing w:after="80"/>
      </w:pPr>
      <w:r>
        <w:rPr>
          <w:rFonts w:ascii="Aptos" w:hAnsi="Aptos"/>
          <w:color w:val="18302B"/>
          <w:sz w:val="21"/>
        </w:rPr>
        <w:t>Verifiera faktisk Supabase-status, befintliga migreringar och miljöseparation innan ny implementation.</w:t>
      </w:r>
    </w:p>
    <w:p>
      <w:pPr>
        <w:pStyle w:val="ListNumber"/>
        <w:spacing w:after="80"/>
      </w:pPr>
      <w:r>
        <w:rPr>
          <w:rFonts w:ascii="Aptos" w:hAnsi="Aptos"/>
          <w:color w:val="18302B"/>
          <w:sz w:val="21"/>
        </w:rPr>
        <w:t>Låt 🧭 Projektledning prioritera dokumenten i en tydlig arkitektursprint innan kodarbete startar.</w:t>
      </w:r>
    </w:p>
    <w:p>
      <w:pPr>
        <w:pStyle w:val="Heading1"/>
      </w:pPr>
      <w:r>
        <w:t>Bilaga A - Arkitekturöversikt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432"/>
            <w:tcMar>
              <w:top w:w="150" w:type="dxa"/>
              <w:start w:w="180" w:type="dxa"/>
              <w:bottom w:w="150" w:type="dxa"/>
              <w:end w:w="180" w:type="dxa"/>
            </w:tcMar>
            <w:shd w:fill="EAF4F1"/>
          </w:tcPr>
          <w:p>
            <w:pPr>
              <w:spacing w:after="80"/>
            </w:pPr>
            <w:r>
              <w:rPr>
                <w:rFonts w:ascii="Aptos" w:hAnsi="Aptos"/>
                <w:b/>
                <w:color w:val="0F6B5B"/>
                <w:sz w:val="21"/>
              </w:rPr>
              <w:t>Kärnmodell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color w:val="18302B"/>
                <w:sz w:val="20"/>
              </w:rPr>
              <w:t>Company Brain → Marketing Strategist → Strategy Context → Specialister → Innehåll → Review → Feedback/Learning → Kontrollerad uppdatering</w:t>
            </w:r>
          </w:p>
        </w:tc>
      </w:tr>
    </w:tbl>
    <w:p>
      <w:pPr>
        <w:spacing w:after="20"/>
      </w:pPr>
    </w:p>
    <w:p>
      <w:pPr>
        <w:spacing w:after="140" w:line="274" w:lineRule="auto"/>
      </w:pPr>
      <w:r>
        <w:rPr>
          <w:rFonts w:ascii="Aptos" w:hAnsi="Aptos"/>
          <w:color w:val="18302B"/>
          <w:sz w:val="21"/>
        </w:rPr>
        <w:t>Marketing Autopilot och Campaign Builder använder samma kärnmodell. Autopilot minimerar antal val och producerar återkommande förslag. Campaign Builder exponerar fler styrparametrar. Båda måste använda samma behörighet, datamodell, strategi och granskningsworkflow.</w:t>
      </w:r>
    </w:p>
    <w:p>
      <w:pPr>
        <w:pStyle w:val="Heading1"/>
      </w:pPr>
      <w:r>
        <w:t>Bilaga B - Ordlista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Begrepp</w:t>
            </w:r>
          </w:p>
        </w:tc>
        <w:tc>
          <w:tcPr>
            <w:tcW w:type="dxa" w:w="7272"/>
            <w:shd w:fill="0F6B5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16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Company Brain</w:t>
            </w:r>
          </w:p>
        </w:tc>
        <w:tc>
          <w:tcPr>
            <w:tcW w:type="dxa" w:w="72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Strukturerad, källmärkt och versionshanterad företagskunskap.</w:t>
            </w:r>
          </w:p>
        </w:tc>
      </w:tr>
      <w:tr>
        <w:tc>
          <w:tcPr>
            <w:tcW w:type="dxa" w:w="216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Marketing Strategist</w:t>
            </w:r>
          </w:p>
        </w:tc>
        <w:tc>
          <w:tcPr>
            <w:tcW w:type="dxa" w:w="72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Komponenten som analyserar, prioriterar och skapar strategisk riktning.</w:t>
            </w:r>
          </w:p>
        </w:tc>
      </w:tr>
      <w:tr>
        <w:tc>
          <w:tcPr>
            <w:tcW w:type="dxa" w:w="216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Strategy Context</w:t>
            </w:r>
          </w:p>
        </w:tc>
        <w:tc>
          <w:tcPr>
            <w:tcW w:type="dxa" w:w="72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Låst, versionsbundet underlag som specialister använder för en specifik körning.</w:t>
            </w:r>
          </w:p>
        </w:tc>
      </w:tr>
      <w:tr>
        <w:tc>
          <w:tcPr>
            <w:tcW w:type="dxa" w:w="216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Specialist</w:t>
            </w:r>
          </w:p>
        </w:tc>
        <w:tc>
          <w:tcPr>
            <w:tcW w:type="dxa" w:w="72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Kanal- eller formatfokuserad AI-komponent som producerar innehåll.</w:t>
            </w:r>
          </w:p>
        </w:tc>
      </w:tr>
      <w:tr>
        <w:tc>
          <w:tcPr>
            <w:tcW w:type="dxa" w:w="216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Review Mode</w:t>
            </w:r>
          </w:p>
        </w:tc>
        <w:tc>
          <w:tcPr>
            <w:tcW w:type="dxa" w:w="72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Standardläge där användaren granskar innan publicering.</w:t>
            </w:r>
          </w:p>
        </w:tc>
      </w:tr>
      <w:tr>
        <w:tc>
          <w:tcPr>
            <w:tcW w:type="dxa" w:w="216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Trusted AI</w:t>
            </w:r>
          </w:p>
        </w:tc>
        <w:tc>
          <w:tcPr>
            <w:tcW w:type="dxa" w:w="72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Föreslagen nivå där vissa steg kan automatiseras efter uttryckligt val.</w:t>
            </w:r>
          </w:p>
        </w:tc>
      </w:tr>
      <w:tr>
        <w:tc>
          <w:tcPr>
            <w:tcW w:type="dxa" w:w="216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Full Autopilot</w:t>
            </w:r>
          </w:p>
        </w:tc>
        <w:tc>
          <w:tcPr>
            <w:tcW w:type="dxa" w:w="72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Föreslagen nivå där systemet kan skapa, schemalägga och publicera inom godkända ramar.</w:t>
            </w:r>
          </w:p>
        </w:tc>
      </w:tr>
      <w:tr>
        <w:tc>
          <w:tcPr>
            <w:tcW w:type="dxa" w:w="216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Observation</w:t>
            </w:r>
          </w:p>
        </w:tc>
        <w:tc>
          <w:tcPr>
            <w:tcW w:type="dxa" w:w="72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Lärandesignal som ännu inte är verifierad företagsfakta.</w:t>
            </w:r>
          </w:p>
        </w:tc>
      </w:tr>
      <w:tr>
        <w:tc>
          <w:tcPr>
            <w:tcW w:type="dxa" w:w="2160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Tenant</w:t>
            </w:r>
          </w:p>
        </w:tc>
        <w:tc>
          <w:tcPr>
            <w:tcW w:type="dxa" w:w="7272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18302B"/>
                <w:sz w:val="17"/>
              </w:rPr>
              <w:t>En kundorganisation med isolerad data, användare och behörighet.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663"/>
        <w:sz w:val="18"/>
      </w:rPr>
      <w:t xml:space="preserve">Sida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0F6B5B"/>
        <w:sz w:val="17"/>
      </w:rPr>
      <w:t>MARKETING COPILOT  /  ARCHITECTURE WORKSPACE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6B5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830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F6B5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F6B5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Marketing Copilot - Architecture Workspace Summary v1.0</dc:title>
  <dc:subject>Aktuell systemarkitektur och överlämningsunderlag</dc:subject>
  <dc:creator>Marketing Copilot</dc:creator>
  <cp:keywords>Marketing Copilot, architecture, Company Brain, Supabase, API,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