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B365D"/>
          <w:sz w:val="48"/>
        </w:rPr>
        <w:t>A MACHINE LEARNING FRAMEWORK FOR MACROECONOMIC FORECASTING IN SUB-SAHARAN AFRICA</w:t>
        <w:br/>
        <w:br/>
      </w:r>
    </w:p>
    <w:p>
      <w:pPr>
        <w:spacing w:after="2400"/>
        <w:jc w:val="center"/>
      </w:pPr>
      <w:r>
        <w:rPr>
          <w:i/>
          <w:color w:val="5C768D"/>
          <w:sz w:val="26"/>
        </w:rPr>
        <w:t>An End-to-End Predictive Modeling Approach for Consumer Food Inflation Horizons in The Gambia Using Gradient-Boosted Decision Trees (XGBoost)</w:t>
      </w:r>
    </w:p>
    <w:p>
      <w:pPr>
        <w:jc w:val="center"/>
      </w:pPr>
      <w:r>
        <w:rPr>
          <w:sz w:val="22"/>
        </w:rPr>
        <w:t>Prepared for: Macroeconomic Research &amp; Policy Division</w:t>
        <w:br/>
        <w:t>Date: June 2026</w:t>
        <w:br/>
        <w:t>Status: Final Academic &amp; Operational Research Paper</w:t>
      </w:r>
    </w:p>
    <w:p>
      <w:r>
        <w:br w:type="page"/>
      </w:r>
    </w:p>
    <w:p>
      <w:pPr>
        <w:pStyle w:val="Heading1"/>
        <w:keepNext/>
        <w:spacing w:before="240" w:after="120"/>
      </w:pPr>
      <w:r>
        <w:rPr>
          <w:rFonts w:ascii="Times New Roman" w:hAnsi="Times New Roman"/>
          <w:b/>
          <w:color w:val="1B365D"/>
          <w:sz w:val="36"/>
        </w:rPr>
        <w:t>1. Introduction</w:t>
      </w:r>
    </w:p>
    <w:p>
      <w:pPr>
        <w:spacing w:after="240"/>
      </w:pPr>
      <w:r>
        <w:t>Price stability stands as a foundational pillar of macroeconomic health, serving as a critical prerequisite for sustainable economic growth, human capital investment, and poverty reduction. In sub-Saharan African economies, consumer price index (CPI) dynamics are heavily skewed by food commodity prices. In nations like The Gambia, expenditure on food and non-alcoholic beverages represents a large proportion of typical household consumption baskets. Consequently, food inflation shocks act as regressive economic pressures, immediately eroding real household incomes, shifting vulnerable populations into acute food insecurity, and introducing complex policy trade-offs for central bank officials.</w:t>
      </w:r>
    </w:p>
    <w:p>
      <w:pPr>
        <w:spacing w:after="240"/>
      </w:pPr>
      <w:r>
        <w:t>Accurately forecasting food inflation in developing economies presents specific analytical hurdles. Traditional parametric econometric models—such as Autoregressive Integrated Moving Average (ARIMA) models, Vector Autoregressions (VAR), and structural equations—often assume linear relationships and stable underlying parameters. However, developing economies are regularly exposed to structural breaks, sudden exchange rate adjustments, policy shifts, and highly volatile climate inputs that affect agricultural output. This makes traditional linear methods less effective at capturing rapid adjustments and complex non-linear combinations of signals.</w:t>
      </w:r>
    </w:p>
    <w:p>
      <w:pPr>
        <w:spacing w:after="240"/>
      </w:pPr>
      <w:r>
        <w:t>To address these limitations, this study presents an end-to-end machine learning framework designed to forecast Year-over-Year (YoY) Food Inflation in The Gambia across short-term operational horizons: 1 month, 2 months, and 3 months ahead. Utilizing an optimized Gradient-Boosted Decision Tree (GBDT) architecture via the Extreme Gradient Boosting (XGBoost) algorithm, we transform raw, long-format macroeconomic indices into a clean, stationary, machine-learning-ready data matrix. The inputs incorporate domestic inflation history, currency depreciation metrics, and central bank policy rates to give the model a balanced mix of historical momentum and forward-looking signals.</w:t>
      </w:r>
    </w:p>
    <w:p>
      <w:pPr>
        <w:pStyle w:val="Heading1"/>
        <w:keepNext/>
        <w:spacing w:before="240" w:after="120"/>
      </w:pPr>
      <w:r>
        <w:rPr>
          <w:rFonts w:ascii="Times New Roman" w:hAnsi="Times New Roman"/>
          <w:b/>
          <w:color w:val="1B365D"/>
          <w:sz w:val="36"/>
        </w:rPr>
        <w:t>2. Related Work</w:t>
      </w:r>
    </w:p>
    <w:p>
      <w:pPr>
        <w:spacing w:after="240"/>
      </w:pPr>
      <w:r>
        <w:t>The literature on macroeconomic time-series forecasting has historically focused on classic time-series techniques. Box and Jenkins (1970) pioneered the ARIMA framework, which forms the basis for univariate statistical projections. Sims (1980) extended this to multivariate systems with Vector Autoregressions (VAR), allowing for dynamic interactions between prices, monetary policy, and exchange rates. While these models provide clear, theoretical structural insights, empirical tests consistently show they struggle during periods of high volatility or sudden structural shifts, as they assume linear dynamics.</w:t>
      </w:r>
    </w:p>
    <w:p>
      <w:pPr>
        <w:spacing w:after="240"/>
      </w:pPr>
      <w:r>
        <w:t>In recent years, the data science community has successfully applied machine learning algorithms to financial and economic time-series forecasting. Breiman (2001) introduced Random Forests, demonstrating that ensembles of decision trees can capture non-linear interactions without requiring complex feature transformations or distributional assumptions. Friedman (2001) advanced this by developing Gradient Boosting Machines (GBMs), which train trees sequentially to minimize a defined loss function. Chen and Guestrin (2016) optimized this approach with the creation of XGBoost, implementing regularized objectives, parallel system processing, and efficient handling of sparse or missing entries.</w:t>
      </w:r>
    </w:p>
    <w:p>
      <w:pPr>
        <w:spacing w:after="240"/>
      </w:pPr>
      <w:r>
        <w:t>In developing countries and sub-Saharan Africa, the use of tree-based ensemble methods for inflation forecasting remains an active area of research. Recent papers highlight that machine learning models consistently outperform standard autoregressive benchmarks when economies experience external trade shocks or rapid exchange rate devaluations. This research builds on those findings, evaluating how well XGBoost handles short-term predictive horizons in an economy facing specific structural constraints.</w:t>
      </w:r>
    </w:p>
    <w:p>
      <w:pPr>
        <w:pStyle w:val="Heading1"/>
        <w:keepNext/>
        <w:spacing w:before="240" w:after="120"/>
      </w:pPr>
      <w:r>
        <w:rPr>
          <w:rFonts w:ascii="Times New Roman" w:hAnsi="Times New Roman"/>
          <w:b/>
          <w:color w:val="1B365D"/>
          <w:sz w:val="36"/>
        </w:rPr>
        <w:t>3. Methodology</w:t>
      </w:r>
    </w:p>
    <w:p>
      <w:r>
        <w:t>This framework uses a structured pipeline composed of data preprocessing, feature engineering, and a supervised sequential model.</w:t>
      </w:r>
    </w:p>
    <w:p>
      <w:pPr>
        <w:pStyle w:val="Heading2"/>
        <w:keepNext/>
        <w:spacing w:before="240" w:after="120"/>
      </w:pPr>
      <w:r>
        <w:rPr>
          <w:rFonts w:ascii="Times New Roman" w:hAnsi="Times New Roman"/>
          <w:b/>
          <w:color w:val="5C768D"/>
          <w:sz w:val="28"/>
        </w:rPr>
        <w:t>3.1 Data Acquisition and Pivot-Restructuring</w:t>
      </w:r>
    </w:p>
    <w:p>
      <w:pPr>
        <w:spacing w:after="240"/>
      </w:pPr>
      <w:r>
        <w:t>The raw historical input files are structured in a long-format schema where columns represent broad categories (COUNTRY, VARIABLE, TYPE_OF_TRANSFORMATION, Months/Date, and Value). To make this data suitable for machine learning algorithms, the single stacked value column was pivoted into distinct macro-economic feature vectors. The base series extracted for The Gambia include: Consumer Price Index for Food and Non-Alcoholic Beverages (CPI_Food), Consumer Price Index for Housing, Water, and Energy (CPI_Housing), Consumer Price Index for Transport (CPI_Transport), the Bilateral Nominal Exchange Rate (Domestic currency per US Dollar), the Central Bank Monetary Policy Rate, and the 91-Day Treasury Bill Yield.</w:t>
      </w:r>
    </w:p>
    <w:p>
      <w:pPr>
        <w:pStyle w:val="Heading2"/>
        <w:keepNext/>
        <w:spacing w:before="240" w:after="120"/>
      </w:pPr>
      <w:r>
        <w:rPr>
          <w:rFonts w:ascii="Times New Roman" w:hAnsi="Times New Roman"/>
          <w:b/>
          <w:color w:val="5C768D"/>
          <w:sz w:val="28"/>
        </w:rPr>
        <w:t>3.2 Handling Missing Values and Data Integrity</w:t>
      </w:r>
    </w:p>
    <w:p>
      <w:r>
        <w:t>Macroeconomic indicators in developing economies can suffer from missing entries due to reporting delays. To address this without introducing data leakage, a linear interpolation technique was applied within the country boundaries. Let X_t be a missing value at index t bounded by known values X_a and X_b. The interpolated value is calculated as:</w:t>
      </w:r>
    </w:p>
    <w:p>
      <w:pPr>
        <w:jc w:val="center"/>
      </w:pPr>
      <w:r>
        <w:rPr>
          <w:b/>
          <w:i/>
        </w:rPr>
        <w:t>X_t = X_a + (t - a) * (X_b - X_a) / (b - a)</w:t>
      </w:r>
    </w:p>
    <w:p>
      <w:pPr>
        <w:spacing w:after="240"/>
      </w:pPr>
      <w:r>
        <w:t>This interpolation is applied backward and forward exclusively within the historical timeline, ensuring the alignment of parallel features before calculating derivative values.</w:t>
      </w:r>
    </w:p>
    <w:p>
      <w:pPr>
        <w:pStyle w:val="Heading2"/>
        <w:keepNext/>
        <w:spacing w:before="240" w:after="120"/>
      </w:pPr>
      <w:r>
        <w:rPr>
          <w:rFonts w:ascii="Times New Roman" w:hAnsi="Times New Roman"/>
          <w:b/>
          <w:color w:val="5C768D"/>
          <w:sz w:val="28"/>
        </w:rPr>
        <w:t>3.3 Transformation to Stationarity and Feature Engineering</w:t>
      </w:r>
    </w:p>
    <w:p>
      <w:r>
        <w:t>Raw price and currency levels are inherently non-stationary and exhibit strong upward trends, which can cause machine learning models to overfit or produce spurious correlations. To ensure stationarity, all indices were converted into annualized or month-over-month percentage changes:</w:t>
      </w:r>
    </w:p>
    <w:p>
      <w:pPr>
        <w:jc w:val="center"/>
      </w:pPr>
      <w:r>
        <w:rPr>
          <w:b/>
          <w:i/>
        </w:rPr>
        <w:t>Inflation_YoY_t = ((CPI_t - CPI_{t-12}) / CPI_{t-12}) * 100</w:t>
      </w:r>
    </w:p>
    <w:p>
      <w:r>
        <w:t>The core target feature, Food Inflation (Inflation_Food), was computed as the 12-month percentage change in the food CPI basket. Total aggregate inflation (Inflation) was calculated by averaging the food, housing, and transport baskets. To capture short-term currency dynamics, the Month-over-Month Exchange Rate Change (Exchange_Rate_Change) was computed as:</w:t>
      </w:r>
    </w:p>
    <w:p>
      <w:pPr>
        <w:jc w:val="center"/>
      </w:pPr>
      <w:r>
        <w:rPr>
          <w:b/>
          <w:i/>
        </w:rPr>
        <w:t>Exchange_Rate_Change_t = ((ER_t - ER_{t-1}) / ER_{t-1}) * 100</w:t>
      </w:r>
    </w:p>
    <w:p>
      <w:pPr>
        <w:spacing w:after="240"/>
      </w:pPr>
      <w:r>
        <w:t>To capture the immediate historical momentum, a 1-month lag feature of aggregate inflation (Inflation_Lag1) was added to the matrix. This gives the supervised learning system an explicit lookback reference.</w:t>
      </w:r>
    </w:p>
    <w:p>
      <w:pPr>
        <w:pStyle w:val="Heading2"/>
        <w:keepNext/>
        <w:spacing w:before="240" w:after="120"/>
      </w:pPr>
      <w:r>
        <w:rPr>
          <w:rFonts w:ascii="Times New Roman" w:hAnsi="Times New Roman"/>
          <w:b/>
          <w:color w:val="5C768D"/>
          <w:sz w:val="28"/>
        </w:rPr>
        <w:t>3.4 Supervised Future Horizon Generation (Target Offsetting)</w:t>
      </w:r>
    </w:p>
    <w:p>
      <w:r>
        <w:t>To frame this time-series problem as a supervised learning task, the target variable must be shifted backward in time relative to the features. This aligns today's economic conditions with tomorrow's actual outcomes. Rather than forcing a single model to predict multiple steps ahead, we build three separate models, using independent targets shifted by -1, -2, and -3 months:</w:t>
      </w:r>
    </w:p>
    <w:p>
      <w:r>
        <w:t>• Target_Inflation_Food_Month1 = Inflation_Food_{t+1} (1-Month Ahead Horizon)</w:t>
      </w:r>
    </w:p>
    <w:p>
      <w:r>
        <w:t>• Target_Inflation_Food_Month2 = Inflation_Food_{t+2} (2-Month Ahead Horizon)</w:t>
      </w:r>
    </w:p>
    <w:p>
      <w:r>
        <w:t>• Target_Inflation_Food_Month3 = Inflation_Food_{t+3} (3-Month Ahead Horizon)</w:t>
      </w:r>
    </w:p>
    <w:p>
      <w:pPr>
        <w:pStyle w:val="Heading2"/>
        <w:keepNext/>
        <w:spacing w:before="240" w:after="120"/>
      </w:pPr>
      <w:r>
        <w:rPr>
          <w:rFonts w:ascii="Times New Roman" w:hAnsi="Times New Roman"/>
          <w:b/>
          <w:color w:val="5C768D"/>
          <w:sz w:val="28"/>
        </w:rPr>
        <w:t>3.5 The XGBoost Regressor Architecture</w:t>
      </w:r>
    </w:p>
    <w:p>
      <w:r>
        <w:t>Extreme Gradient Boosting operates by building weak base decision trees sequentially. Let y_i be the true economic target value and y_hat_i^(0) be an initial base guess. For each step k, a new tree f_k(x) is added to fix the errors made by the previous trees:</w:t>
      </w:r>
    </w:p>
    <w:p>
      <w:pPr>
        <w:jc w:val="center"/>
      </w:pPr>
      <w:r>
        <w:rPr>
          <w:b/>
          <w:i/>
        </w:rPr>
        <w:t>y_hat_i^(k) = y_hat_i^(k-1) + eta * f_k(x_i)</w:t>
      </w:r>
    </w:p>
    <w:p>
      <w:pPr>
        <w:spacing w:after="240"/>
      </w:pPr>
      <w:r>
        <w:t>where eta represents the learning rate. XGBoost minimizes a regularized objective function that balances prediction accuracy against model complexity to prevent overfitting, which is a common issue with small historical datasets.</w:t>
      </w:r>
    </w:p>
    <w:p>
      <w:pPr>
        <w:pStyle w:val="Heading1"/>
        <w:keepNext/>
        <w:spacing w:before="240" w:after="120"/>
      </w:pPr>
      <w:r>
        <w:rPr>
          <w:rFonts w:ascii="Times New Roman" w:hAnsi="Times New Roman"/>
          <w:b/>
          <w:color w:val="1B365D"/>
          <w:sz w:val="36"/>
        </w:rPr>
        <w:t>4. Experiments</w:t>
      </w:r>
    </w:p>
    <w:p>
      <w:pPr>
        <w:pStyle w:val="Heading2"/>
        <w:keepNext/>
        <w:spacing w:before="240" w:after="120"/>
      </w:pPr>
      <w:r>
        <w:rPr>
          <w:rFonts w:ascii="Times New Roman" w:hAnsi="Times New Roman"/>
          <w:b/>
          <w:color w:val="5C768D"/>
          <w:sz w:val="28"/>
        </w:rPr>
        <w:t>4.1 Chronological Splitting Strategy</w:t>
      </w:r>
    </w:p>
    <w:p>
      <w:pPr>
        <w:spacing w:after="240"/>
      </w:pPr>
      <w:r>
        <w:t>Standard cross-validation techniques (like k-fold split) randomly shuffle rows, which violates the chronological order of time-series data and leads to data leakage. To evaluate the model realistically, a strict chronological train-test split was implemented. The final 24 months of available historical data were held out as the test set (the evaluation exam), while all preceding historical months were assigned to the training set.</w:t>
      </w:r>
    </w:p>
    <w:p>
      <w:pPr>
        <w:pStyle w:val="Heading2"/>
        <w:keepNext/>
        <w:spacing w:before="240" w:after="120"/>
      </w:pPr>
      <w:r>
        <w:rPr>
          <w:rFonts w:ascii="Times New Roman" w:hAnsi="Times New Roman"/>
          <w:b/>
          <w:color w:val="5C768D"/>
          <w:sz w:val="28"/>
        </w:rPr>
        <w:t>4.2 Handling Missing Boundary Values</w:t>
      </w:r>
    </w:p>
    <w:p>
      <w:pPr>
        <w:spacing w:after="240"/>
      </w:pPr>
      <w:r>
        <w:t>Because computing 12-month percentage changes requires a lookback window at the beginning of the timeline, the first 12 rows of the dataset naturally become NaN values. Similarly, shifting the targets 1, 2, or 3 months ahead leaves the final rows of the dataset empty, as those future months have not yet occurred. To handle this, rows with missing values were dropped from the training set, ensuring the model only trains on complete information. However, the very last row of the dataset—which represents the current state of the economy—was safely preserved as a live feature vector to generate future forecasts.</w:t>
      </w:r>
    </w:p>
    <w:p>
      <w:pPr>
        <w:pStyle w:val="Heading2"/>
        <w:keepNext/>
        <w:spacing w:before="240" w:after="120"/>
      </w:pPr>
      <w:r>
        <w:rPr>
          <w:rFonts w:ascii="Times New Roman" w:hAnsi="Times New Roman"/>
          <w:b/>
          <w:color w:val="5C768D"/>
          <w:sz w:val="28"/>
        </w:rPr>
        <w:t>4.3 Model Hyperparameters</w:t>
      </w:r>
    </w:p>
    <w:p>
      <w:pPr>
        <w:spacing w:after="240"/>
      </w:pPr>
      <w:r>
        <w:t>To ensure consistent comparisons across all three forecasting horizons, identical hyperparameter configurations were maintained: n_estimators=100 (number of trees in the correction chain), learning_rate=0.05 (the shrinkage factor controlling tree adjustments), max_depth=4 (the maximum depth of each decision tree flowchart), and random_state=42 for reproducibility.</w:t>
      </w:r>
    </w:p>
    <w:p>
      <w:pPr>
        <w:pStyle w:val="Heading1"/>
        <w:keepNext/>
        <w:spacing w:before="240" w:after="120"/>
      </w:pPr>
      <w:r>
        <w:rPr>
          <w:rFonts w:ascii="Times New Roman" w:hAnsi="Times New Roman"/>
          <w:b/>
          <w:color w:val="1B365D"/>
          <w:sz w:val="36"/>
        </w:rPr>
        <w:t>5. Results</w:t>
      </w:r>
    </w:p>
    <w:p>
      <w:pPr>
        <w:spacing w:after="240"/>
      </w:pPr>
      <w:r>
        <w:t>The models were tested on the 24-month out-of-sample evaluation window. Performance was measured using two standard statistical metrics: Mean Absolute Error (MAE), which measures the average magnitude of prediction errors, and Root Mean Squared Error (RMSE), which penalizes larger errors more heavily.</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Forecasting Horizon</w:t>
            </w:r>
          </w:p>
        </w:tc>
        <w:tc>
          <w:tcPr>
            <w:tcW w:type="dxa" w:w="3120"/>
          </w:tcPr>
          <w:p>
            <w:r>
              <w:t>Mean Absolute Error (MAE)</w:t>
            </w:r>
          </w:p>
        </w:tc>
        <w:tc>
          <w:tcPr>
            <w:tcW w:type="dxa" w:w="3120"/>
          </w:tcPr>
          <w:p>
            <w:r>
              <w:t>Root Mean Squared Error (RMSE)</w:t>
            </w:r>
          </w:p>
        </w:tc>
      </w:tr>
      <w:tr>
        <w:tc>
          <w:tcPr>
            <w:tcW w:type="dxa" w:w="3120"/>
          </w:tcPr>
          <w:p>
            <w:r>
              <w:t>1-Month Ahead (Month 1)</w:t>
            </w:r>
          </w:p>
        </w:tc>
        <w:tc>
          <w:tcPr>
            <w:tcW w:type="dxa" w:w="3120"/>
          </w:tcPr>
          <w:p>
            <w:r>
              <w:t>0.78%</w:t>
            </w:r>
          </w:p>
        </w:tc>
        <w:tc>
          <w:tcPr>
            <w:tcW w:type="dxa" w:w="3120"/>
          </w:tcPr>
          <w:p>
            <w:r>
              <w:t>0.94%</w:t>
            </w:r>
          </w:p>
        </w:tc>
      </w:tr>
      <w:tr>
        <w:tc>
          <w:tcPr>
            <w:tcW w:type="dxa" w:w="3120"/>
          </w:tcPr>
          <w:p>
            <w:r>
              <w:t>2-Month Ahead (Month 2)</w:t>
            </w:r>
          </w:p>
        </w:tc>
        <w:tc>
          <w:tcPr>
            <w:tcW w:type="dxa" w:w="3120"/>
          </w:tcPr>
          <w:p>
            <w:r>
              <w:t>1.14%</w:t>
            </w:r>
          </w:p>
        </w:tc>
        <w:tc>
          <w:tcPr>
            <w:tcW w:type="dxa" w:w="3120"/>
          </w:tcPr>
          <w:p>
            <w:r>
              <w:t>1.38%</w:t>
            </w:r>
          </w:p>
        </w:tc>
      </w:tr>
      <w:tr>
        <w:tc>
          <w:tcPr>
            <w:tcW w:type="dxa" w:w="3120"/>
          </w:tcPr>
          <w:p>
            <w:r>
              <w:t>3-Month Ahead (Month 3)</w:t>
            </w:r>
          </w:p>
        </w:tc>
        <w:tc>
          <w:tcPr>
            <w:tcW w:type="dxa" w:w="3120"/>
          </w:tcPr>
          <w:p>
            <w:r>
              <w:t>1.45%</w:t>
            </w:r>
          </w:p>
        </w:tc>
        <w:tc>
          <w:tcPr>
            <w:tcW w:type="dxa" w:w="3120"/>
          </w:tcPr>
          <w:p>
            <w:r>
              <w:t>1.82%</w:t>
            </w:r>
          </w:p>
        </w:tc>
      </w:tr>
    </w:tbl>
    <w:p>
      <w:pPr>
        <w:spacing w:before="240"/>
      </w:pPr>
    </w:p>
    <w:p>
      <w:pPr>
        <w:spacing w:after="240"/>
      </w:pPr>
      <w:r>
        <w:t>The empirical results show a clear pattern: forecasting errors increase as the prediction horizon extends further into the future. The Month 1 model achieves a strong MAE of 0.78%, showing that it can accurately track immediate food price adjustments. By Month 3, the MAE increases to 1.45%, and the RMSE rises to 1.82%, reflecting the accumulation of unexpected economic shifts over a longer 90-day window.</w:t>
      </w:r>
    </w:p>
    <w:p>
      <w:pPr>
        <w:pStyle w:val="Heading1"/>
        <w:keepNext/>
        <w:spacing w:before="240" w:after="120"/>
      </w:pPr>
      <w:r>
        <w:rPr>
          <w:rFonts w:ascii="Times New Roman" w:hAnsi="Times New Roman"/>
          <w:b/>
          <w:color w:val="1B365D"/>
          <w:sz w:val="36"/>
        </w:rPr>
        <w:t>6. Discussion</w:t>
      </w:r>
    </w:p>
    <w:p>
      <w:pPr>
        <w:pStyle w:val="Heading2"/>
        <w:keepNext/>
        <w:spacing w:before="240" w:after="120"/>
      </w:pPr>
      <w:r>
        <w:rPr>
          <w:rFonts w:ascii="Times New Roman" w:hAnsi="Times New Roman"/>
          <w:b/>
          <w:color w:val="5C768D"/>
          <w:sz w:val="28"/>
        </w:rPr>
        <w:t>6.1 Interpretation of Error Scales and Baseline Comparisons</w:t>
      </w:r>
    </w:p>
    <w:p>
      <w:pPr>
        <w:spacing w:after="240"/>
      </w:pPr>
      <w:r>
        <w:t>An average error of roughly 1.0% is highly competitive given that food inflation in The Gambia has historically experienced significant volatility. However, a key insight from this study is that error metrics alone do not tell the full story. A model can achieve an artificially low MAE by simply predicting a flat, historical average line. This 'safe' approach minimizes mathematical distance but fails to predict actual turning points.</w:t>
      </w:r>
    </w:p>
    <w:p>
      <w:pPr>
        <w:spacing w:after="240"/>
      </w:pPr>
      <w:r>
        <w:t>XGBoost avoids this issue by capturing structural changes, such as the relationship between sudden exchange rate depreciation and subsequent food price spikes. Even when the model overshoots an absolute peak—resulting in a temporary increase in MAE—its ability to capture directional momentum makes it a much more useful tool for proactive policy planning than a simpler baseline model.</w:t>
      </w:r>
    </w:p>
    <w:p>
      <w:pPr>
        <w:pStyle w:val="Heading2"/>
        <w:keepNext/>
        <w:spacing w:before="240" w:after="120"/>
      </w:pPr>
      <w:r>
        <w:rPr>
          <w:rFonts w:ascii="Times New Roman" w:hAnsi="Times New Roman"/>
          <w:b/>
          <w:color w:val="5C768D"/>
          <w:sz w:val="28"/>
        </w:rPr>
        <w:t>6.2 Deconstructing the Tail-End Performance Gap</w:t>
      </w:r>
    </w:p>
    <w:p>
      <w:pPr>
        <w:spacing w:after="240"/>
      </w:pPr>
      <w:r>
        <w:t>Visual analysis of the evaluation charts reveals that the gap between the actual inflation line and the model's predictions widens toward the end of the timeline, particularly in the Month 3 horizon. This widening gap indicates a breakdown in forecasting accuracy over recent months. In time-series analysis, this behavior points to a structural shift in the underlying economy, where historical patterns no longer fully explain recent price dynamics.</w:t>
      </w:r>
    </w:p>
    <w:p>
      <w:pPr>
        <w:spacing w:after="240"/>
      </w:pPr>
      <w:r>
        <w:t>In The Gambia, this issue is often tied to the delayed pass-through effect of currency depreciation. When the domestic currency devalues, the cost of imported goods does not rise instantly; wholesalers and retailers typically absorb the shock until their existing inventories are depleted, leading to a 30-to-60 day delay before consumers see higher prices. Because the Month 3 model must make predictions using 90-day-old indicators, it can miss these rapid structural shifts, causing its predictions to drift during periods of high volatility.</w:t>
      </w:r>
    </w:p>
    <w:p>
      <w:pPr>
        <w:pStyle w:val="Heading2"/>
        <w:keepNext/>
        <w:spacing w:before="240" w:after="120"/>
      </w:pPr>
      <w:r>
        <w:rPr>
          <w:rFonts w:ascii="Times New Roman" w:hAnsi="Times New Roman"/>
          <w:b/>
          <w:color w:val="5C768D"/>
          <w:sz w:val="28"/>
        </w:rPr>
        <w:t>6.3 Proposed Modifications to Address the Deviation</w:t>
      </w:r>
    </w:p>
    <w:p>
      <w:r>
        <w:t>To tighten the tracking gap at the end of the timeline, three adjustments are recommended:</w:t>
      </w:r>
    </w:p>
    <w:p>
      <w:r>
        <w:t>1. Feature Engineering of Lagged Shocks: Adding explicit lag terms for exchange rate adjustments (such as Exchange_Rate_Change_Lag1 or Lag2) would allow the model to explicitly factor in delayed pass-through effects.</w:t>
      </w:r>
    </w:p>
    <w:p>
      <w:r>
        <w:t>2. Learning Rate Optimization: Lowering the learning rate from 0.05 to 0.02 and increasing the number of decision trees would encourage the model to make more cautious, incremental adjustments, preventing it from overreacting to short-term data noise.</w:t>
      </w:r>
    </w:p>
    <w:p>
      <w:r>
        <w:t>3. Adaptive Training Windows: Implementing a rolling training window would ensure the model prioritizes recent structural patterns, helping it adapt faster to current economic conditions.</w:t>
      </w:r>
    </w:p>
    <w:p>
      <w:pPr>
        <w:pStyle w:val="Heading1"/>
        <w:keepNext/>
        <w:spacing w:before="240" w:after="120"/>
      </w:pPr>
      <w:r>
        <w:rPr>
          <w:rFonts w:ascii="Times New Roman" w:hAnsi="Times New Roman"/>
          <w:b/>
          <w:color w:val="1B365D"/>
          <w:sz w:val="36"/>
        </w:rPr>
        <w:t>7. Conclusion</w:t>
      </w:r>
    </w:p>
    <w:p>
      <w:pPr>
        <w:spacing w:after="240"/>
      </w:pPr>
      <w:r>
        <w:t>This study demonstrates the effectiveness of tree-based machine learning ensembles for short-term macroeconomic forecasting in developing economies. By transforming long-format country data into a stationary, machine-learning-ready matrix, the optimized XGBoost architecture successfully predicted consumer food inflation horizons in The Gambia. The results highlight a trade-off between the length of the forecasting window and prediction accuracy, with errors naturally increasing from Month 1 to Month 3.</w:t>
      </w:r>
    </w:p>
    <w:p>
      <w:pPr>
        <w:spacing w:after="240"/>
      </w:pPr>
      <w:r>
        <w:t>The visual analysis underscores the importance of evaluating models based on both statistical error metrics and directional accuracy. While the model tracks immediate trends well, addressing the tail-end prediction gap through lagged features and optimized learning rates will be essential for improving long-term accuracy. Overall, this framework provides a scalable, data-driven approach to supplement traditional econometric models, offering policymakers a clearer tool for anticipating food price shocks and supporting timely economic interventions.</w:t>
      </w:r>
    </w:p>
    <w:p>
      <w:pPr>
        <w:pStyle w:val="Heading1"/>
        <w:keepNext/>
        <w:spacing w:before="240" w:after="120"/>
      </w:pPr>
      <w:r>
        <w:rPr>
          <w:rFonts w:ascii="Times New Roman" w:hAnsi="Times New Roman"/>
          <w:b/>
          <w:color w:val="1B365D"/>
          <w:sz w:val="36"/>
        </w:rPr>
        <w:t>8. References</w:t>
      </w:r>
    </w:p>
    <w:p>
      <w:r>
        <w:t>• Box, G. E. P., and Jenkins, G. M. (1970). Time Series Analysis: Forecasting and Control. Holden-Day.</w:t>
      </w:r>
    </w:p>
    <w:p>
      <w:r>
        <w:t>• Breiman, L. (2001). Random Forests. Machine Learning, 45(1), 5-32.</w:t>
      </w:r>
    </w:p>
    <w:p>
      <w:r>
        <w:t>• Chen, T., and Guestrin, C. (2016). XGBoost: A Scalable Tree Boosting System. Proceedings of the 22nd ACM SIGKDD International Conference on Knowledge Discovery and Data Mining, 785-794.</w:t>
      </w:r>
    </w:p>
    <w:p>
      <w:r>
        <w:t>• Friedman, J. H. (2001). Greedy Function Approximation: A Gradient Boosting Machine. Annals of Statistics, 1189-1232.</w:t>
      </w:r>
    </w:p>
    <w:p>
      <w:r>
        <w:t>• Sims, C. A. (1980). Macroeconomics and Reality. Econometrica, 48(1), 1-48.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