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Release Governance Policy</w:t>
      </w:r>
    </w:p>
    <w:p>
      <w:r>
        <w:t>All production releases must pass the release governance checklist before deployment. The checklist is reviewed by the Architecture Board.</w:t>
      </w:r>
    </w:p>
    <w:p>
      <w:pPr>
        <w:pStyle w:val="Heading2"/>
      </w:pPr>
      <w:r>
        <w:t>Approval Process</w:t>
      </w:r>
    </w:p>
    <w:p>
      <w:r>
        <w:t>1. Submit the release candidate to the release queue.</w:t>
        <w:br/>
        <w:t>2. The Architecture Decision Record must be approved.</w:t>
        <w:br/>
        <w:t>3. Security review must be completed.</w:t>
        <w:br/>
        <w:t>4. Performance benchmarks must meet the SLA targets.</w:t>
      </w:r>
    </w:p>
    <w:p>
      <w:r>
        <w:t>See https://confluence.example.com/release-governance for the full policy.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