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485" w:type="dxa"/>
        <w:jc w:val="center"/>
        <w:tblInd w:w="0" w:type="dxa"/>
        <w:tblCellMar>
          <w:top w:w="0" w:type="dxa"/>
          <w:left w:w="0" w:type="dxa"/>
          <w:bottom w:w="0" w:type="dxa"/>
          <w:right w:w="0" w:type="dxa"/>
        </w:tblCellMar>
        <w:tblLook w:noHBand="0" w:noVBand="1" w:firstColumn="0" w:lastRow="0" w:lastColumn="0" w:firstRow="1"/>
      </w:tblPr>
      <w:tblGrid>
        <w:gridCol w:w="3220"/>
        <w:gridCol w:w="2026"/>
        <w:gridCol w:w="1211"/>
        <w:gridCol w:w="2028"/>
      </w:tblGrid>
      <w:tr>
        <w:trPr>
          <w:tblHeader w:val="true"/>
          <w:trHeight w:val="624" w:hRule="atLeast"/>
          <w:cantSplit w:val="true"/>
        </w:trPr>
        <w:tc>
          <w:tcPr>
            <w:tcW w:w="3220" w:type="dxa"/>
            <w:tcBorders>
              <w:top w:val="single" w:sz="16" w:space="0" w:color="666666"/>
              <w:bottom w:val="single" w:sz="16" w:space="0" w:color="666666"/>
            </w:tcBorders>
            <w:shd w:color="auto" w:fill="FFFFFF" w:val="clear"/>
            <w:vAlign w:val="center"/>
          </w:tcPr>
          <w:p>
            <w:pPr>
              <w:pStyle w:val="Normal"/>
              <w:pageBreakBefore/>
              <w:spacing w:lineRule="exact" w:line="240" w:before="100" w:after="100"/>
              <w:ind w:left="100" w:right="100" w:hanging="0"/>
              <w:jc w:val="left"/>
              <w:rPr/>
            </w:pPr>
            <w:r>
              <w:rPr>
                <w:rFonts w:eastAsia="DejaVu Sans" w:cs="DejaVu Sans" w:ascii="DejaVu Sans" w:hAnsi="DejaVu Sans"/>
                <w:color w:val="000000"/>
                <w:sz w:val="22"/>
                <w:szCs w:val="22"/>
              </w:rPr>
              <w:t>Palaeoclimate Interaction</w:t>
            </w:r>
          </w:p>
        </w:tc>
        <w:tc>
          <w:tcPr>
            <w:tcW w:w="2026"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Lower Quartile</w:t>
            </w:r>
          </w:p>
        </w:tc>
        <w:tc>
          <w:tcPr>
            <w:tcW w:w="1211"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Median</w:t>
            </w:r>
          </w:p>
        </w:tc>
        <w:tc>
          <w:tcPr>
            <w:tcW w:w="2028"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Upper Quartile</w:t>
            </w:r>
          </w:p>
        </w:tc>
      </w:tr>
      <w:tr>
        <w:trPr>
          <w:trHeight w:val="624" w:hRule="atLeast"/>
          <w:cantSplit w:val="true"/>
        </w:trPr>
        <w:tc>
          <w:tcPr>
            <w:tcW w:w="322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Cooling-Cooling</w:t>
            </w:r>
          </w:p>
        </w:tc>
        <w:tc>
          <w:tcPr>
            <w:tcW w:w="202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0.139</w:t>
            </w:r>
          </w:p>
        </w:tc>
        <w:tc>
          <w:tcPr>
            <w:tcW w:w="12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0.151</w:t>
            </w:r>
          </w:p>
        </w:tc>
        <w:tc>
          <w:tcPr>
            <w:tcW w:w="2028"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0.166</w:t>
            </w:r>
          </w:p>
        </w:tc>
      </w:tr>
      <w:tr>
        <w:trPr>
          <w:trHeight w:val="624" w:hRule="atLeast"/>
          <w:cantSplit w:val="true"/>
        </w:trPr>
        <w:tc>
          <w:tcPr>
            <w:tcW w:w="322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Cooling-Warming</w:t>
            </w:r>
          </w:p>
        </w:tc>
        <w:tc>
          <w:tcPr>
            <w:tcW w:w="202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0.091</w:t>
            </w:r>
          </w:p>
        </w:tc>
        <w:tc>
          <w:tcPr>
            <w:tcW w:w="12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0.112</w:t>
            </w:r>
          </w:p>
        </w:tc>
        <w:tc>
          <w:tcPr>
            <w:tcW w:w="2028"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0.149</w:t>
            </w:r>
          </w:p>
        </w:tc>
      </w:tr>
      <w:tr>
        <w:trPr>
          <w:trHeight w:val="624" w:hRule="atLeast"/>
          <w:cantSplit w:val="true"/>
        </w:trPr>
        <w:tc>
          <w:tcPr>
            <w:tcW w:w="322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Warming-Cooling</w:t>
            </w:r>
          </w:p>
        </w:tc>
        <w:tc>
          <w:tcPr>
            <w:tcW w:w="202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0.102</w:t>
            </w:r>
          </w:p>
        </w:tc>
        <w:tc>
          <w:tcPr>
            <w:tcW w:w="12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0.119</w:t>
            </w:r>
          </w:p>
        </w:tc>
        <w:tc>
          <w:tcPr>
            <w:tcW w:w="2028"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0.132</w:t>
            </w:r>
          </w:p>
        </w:tc>
      </w:tr>
      <w:tr>
        <w:trPr>
          <w:trHeight w:val="624" w:hRule="atLeast"/>
          <w:cantSplit w:val="true"/>
        </w:trPr>
        <w:tc>
          <w:tcPr>
            <w:tcW w:w="322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Warming-Warming</w:t>
            </w:r>
          </w:p>
        </w:tc>
        <w:tc>
          <w:tcPr>
            <w:tcW w:w="2026"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0.081</w:t>
            </w:r>
          </w:p>
        </w:tc>
        <w:tc>
          <w:tcPr>
            <w:tcW w:w="1211"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0.104</w:t>
            </w:r>
          </w:p>
        </w:tc>
        <w:tc>
          <w:tcPr>
            <w:tcW w:w="2028"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0.140</w:t>
            </w:r>
          </w:p>
        </w:tc>
      </w:tr>
    </w:tbl>
    <w:p>
      <w:pPr>
        <w:pStyle w:val="Caption1"/>
        <w:keepNext w:val="true"/>
        <w:bidi w:val="0"/>
        <w:jc w:val="left"/>
        <w:rPr/>
      </w:pPr>
      <w:r>
        <w:rPr/>
      </w:r>
    </w:p>
    <w:p>
      <w:pPr>
        <w:pStyle w:val="Caption1"/>
        <w:bidi w:val="0"/>
        <w:jc w:val="left"/>
        <w:rPr/>
      </w:pPr>
      <w:r>
        <w:rPr/>
        <w:t xml:space="preserve">Suppl. Table </w:t>
      </w:r>
      <w:r>
        <w:rPr/>
        <w:t>1</w:t>
      </w:r>
      <w:r>
        <w:rPr/>
        <w:t xml:space="preserve"> | Distribution of origination probability after each palaeoclimate interaction for all studied fossil groups based on predictions of final GLMMs.</w:t>
      </w:r>
    </w:p>
    <w:p>
      <w:pPr>
        <w:pStyle w:val="Normal"/>
        <w:bidi w:val="0"/>
        <w:jc w:val="left"/>
        <w:rPr/>
      </w:pPr>
      <w:r>
        <w:rPr/>
      </w:r>
      <w:r>
        <w:br w:type="page"/>
      </w:r>
    </w:p>
    <w:tbl>
      <w:tblPr>
        <w:tblW w:w="9196" w:type="dxa"/>
        <w:jc w:val="center"/>
        <w:tblInd w:w="0" w:type="dxa"/>
        <w:tblCellMar>
          <w:top w:w="0" w:type="dxa"/>
          <w:left w:w="0" w:type="dxa"/>
          <w:bottom w:w="0" w:type="dxa"/>
          <w:right w:w="0" w:type="dxa"/>
        </w:tblCellMar>
        <w:tblLook w:noHBand="0" w:noVBand="1" w:firstColumn="0" w:lastRow="0" w:lastColumn="0" w:firstRow="1"/>
      </w:tblPr>
      <w:tblGrid>
        <w:gridCol w:w="2632"/>
        <w:gridCol w:w="1361"/>
        <w:gridCol w:w="1382"/>
        <w:gridCol w:w="1366"/>
        <w:gridCol w:w="2455"/>
      </w:tblGrid>
      <w:tr>
        <w:trPr>
          <w:tblHeader w:val="true"/>
          <w:trHeight w:val="620" w:hRule="atLeast"/>
          <w:cantSplit w:val="true"/>
        </w:trPr>
        <w:tc>
          <w:tcPr>
            <w:tcW w:w="2632" w:type="dxa"/>
            <w:tcBorders>
              <w:top w:val="single" w:sz="16" w:space="0" w:color="666666"/>
              <w:bottom w:val="single" w:sz="16" w:space="0" w:color="666666"/>
            </w:tcBorders>
            <w:shd w:color="auto" w:fill="FFFFFF" w:val="clear"/>
            <w:vAlign w:val="center"/>
          </w:tcPr>
          <w:p>
            <w:pPr>
              <w:pStyle w:val="Normal"/>
              <w:pageBreakBefore/>
              <w:spacing w:lineRule="exact" w:line="240" w:before="100" w:after="100"/>
              <w:ind w:left="100" w:right="100" w:hanging="0"/>
              <w:jc w:val="left"/>
              <w:rPr/>
            </w:pPr>
            <w:r>
              <w:rPr>
                <w:rFonts w:eastAsia="DejaVu Sans" w:cs="DejaVu Sans" w:ascii="DejaVu Sans" w:hAnsi="DejaVu Sans"/>
                <w:color w:val="000000"/>
                <w:sz w:val="22"/>
                <w:szCs w:val="22"/>
              </w:rPr>
              <w:t>Parameter</w:t>
            </w:r>
          </w:p>
        </w:tc>
        <w:tc>
          <w:tcPr>
            <w:tcW w:w="1361"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 xml:space="preserve">Lower </w:t>
            </w:r>
          </w:p>
        </w:tc>
        <w:tc>
          <w:tcPr>
            <w:tcW w:w="1382"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Estimate</w:t>
            </w:r>
          </w:p>
        </w:tc>
        <w:tc>
          <w:tcPr>
            <w:tcW w:w="1366"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 xml:space="preserve">Upper </w:t>
            </w:r>
          </w:p>
        </w:tc>
        <w:tc>
          <w:tcPr>
            <w:tcW w:w="2455"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Method</w:t>
            </w:r>
          </w:p>
        </w:tc>
      </w:tr>
      <w:tr>
        <w:trPr>
          <w:trHeight w:val="624" w:hRule="atLeast"/>
          <w:cantSplit w:val="true"/>
        </w:trPr>
        <w:tc>
          <w:tcPr>
            <w:tcW w:w="2632" w:type="dxa"/>
            <w:vMerge w:val="restart"/>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Difference in means</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4.13</w:t>
            </w:r>
          </w:p>
        </w:tc>
        <w:tc>
          <w:tcPr>
            <w:tcW w:w="138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4.20</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4.27</w:t>
            </w:r>
          </w:p>
        </w:tc>
        <w:tc>
          <w:tcPr>
            <w:tcW w:w="245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Bootstrapping</w:t>
            </w:r>
          </w:p>
        </w:tc>
      </w:tr>
      <w:tr>
        <w:trPr>
          <w:trHeight w:val="624" w:hRule="atLeast"/>
          <w:cantSplit w:val="true"/>
        </w:trPr>
        <w:tc>
          <w:tcPr>
            <w:tcW w:w="2632" w:type="dxa"/>
            <w:vMerge w:val="continue"/>
            <w:tcBorders>
              <w:bottom w:val="dashed" w:sz="8" w:space="0" w:color="A9A9A9"/>
            </w:tcBorders>
            <w:shd w:color="auto" w:fill="FFFFFF" w:val="clear"/>
            <w:vAlign w:val="center"/>
          </w:tcPr>
          <w:p>
            <w:pPr>
              <w:pStyle w:val="Normal"/>
              <w:spacing w:lineRule="exact" w:line="240" w:before="100" w:after="100"/>
              <w:ind w:left="100" w:right="100" w:hanging="0"/>
              <w:jc w:val="left"/>
              <w:rPr/>
            </w:pPr>
            <w:r>
              <w:rPr/>
            </w:r>
          </w:p>
        </w:tc>
        <w:tc>
          <w:tcPr>
            <w:tcW w:w="136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3.88</w:t>
            </w:r>
          </w:p>
        </w:tc>
        <w:tc>
          <w:tcPr>
            <w:tcW w:w="1382"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4.09</w:t>
            </w:r>
          </w:p>
        </w:tc>
        <w:tc>
          <w:tcPr>
            <w:tcW w:w="1366"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4.23</w:t>
            </w:r>
          </w:p>
        </w:tc>
        <w:tc>
          <w:tcPr>
            <w:tcW w:w="2455"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Bayesian Estimate</w:t>
            </w:r>
          </w:p>
        </w:tc>
      </w:tr>
      <w:tr>
        <w:trPr>
          <w:trHeight w:val="624" w:hRule="atLeast"/>
          <w:cantSplit w:val="true"/>
        </w:trPr>
        <w:tc>
          <w:tcPr>
            <w:tcW w:w="2632" w:type="dxa"/>
            <w:vMerge w:val="restart"/>
            <w:tcBorders>
              <w:top w:val="dashed" w:sz="8" w:space="0" w:color="A9A9A9"/>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Percentage change</w:t>
            </w:r>
          </w:p>
        </w:tc>
        <w:tc>
          <w:tcPr>
            <w:tcW w:w="136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30.77</w:t>
            </w:r>
          </w:p>
        </w:tc>
        <w:tc>
          <w:tcPr>
            <w:tcW w:w="1382"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31.28</w:t>
            </w:r>
          </w:p>
        </w:tc>
        <w:tc>
          <w:tcPr>
            <w:tcW w:w="1366"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31.80</w:t>
            </w:r>
          </w:p>
        </w:tc>
        <w:tc>
          <w:tcPr>
            <w:tcW w:w="2455"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Bootstrapping</w:t>
            </w:r>
          </w:p>
        </w:tc>
      </w:tr>
      <w:tr>
        <w:trPr>
          <w:trHeight w:val="624" w:hRule="atLeast"/>
          <w:cantSplit w:val="true"/>
        </w:trPr>
        <w:tc>
          <w:tcPr>
            <w:tcW w:w="2632" w:type="dxa"/>
            <w:vMerge w:val="continue"/>
            <w:tcBorders>
              <w:bottom w:val="dashed" w:sz="8" w:space="0" w:color="A9A9A9"/>
            </w:tcBorders>
            <w:shd w:color="auto" w:fill="FFFFFF" w:val="clear"/>
            <w:vAlign w:val="center"/>
          </w:tcPr>
          <w:p>
            <w:pPr>
              <w:pStyle w:val="Normal"/>
              <w:spacing w:lineRule="exact" w:line="240" w:before="100" w:after="100"/>
              <w:ind w:left="100" w:right="100" w:hanging="0"/>
              <w:jc w:val="left"/>
              <w:rPr/>
            </w:pPr>
            <w:r>
              <w:rPr/>
            </w:r>
          </w:p>
        </w:tc>
        <w:tc>
          <w:tcPr>
            <w:tcW w:w="136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28.92</w:t>
            </w:r>
          </w:p>
        </w:tc>
        <w:tc>
          <w:tcPr>
            <w:tcW w:w="1382"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30.50</w:t>
            </w:r>
          </w:p>
        </w:tc>
        <w:tc>
          <w:tcPr>
            <w:tcW w:w="1366"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31.52</w:t>
            </w:r>
          </w:p>
        </w:tc>
        <w:tc>
          <w:tcPr>
            <w:tcW w:w="2455"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Bayesian Estimate</w:t>
            </w:r>
          </w:p>
        </w:tc>
      </w:tr>
      <w:tr>
        <w:trPr>
          <w:trHeight w:val="581" w:hRule="atLeast"/>
          <w:cantSplit w:val="true"/>
        </w:trPr>
        <w:tc>
          <w:tcPr>
            <w:tcW w:w="2632" w:type="dxa"/>
            <w:vMerge w:val="restart"/>
            <w:tcBorders>
              <w:top w:val="dashed" w:sz="8" w:space="0" w:color="A9A9A9"/>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Effect size</w:t>
            </w:r>
          </w:p>
        </w:tc>
        <w:tc>
          <w:tcPr>
            <w:tcW w:w="136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1.29</w:t>
            </w:r>
          </w:p>
        </w:tc>
        <w:tc>
          <w:tcPr>
            <w:tcW w:w="1382"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1.31</w:t>
            </w:r>
          </w:p>
        </w:tc>
        <w:tc>
          <w:tcPr>
            <w:tcW w:w="1366"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1.33</w:t>
            </w:r>
          </w:p>
        </w:tc>
        <w:tc>
          <w:tcPr>
            <w:tcW w:w="2455"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Cohen's D</w:t>
            </w:r>
          </w:p>
        </w:tc>
      </w:tr>
      <w:tr>
        <w:trPr>
          <w:trHeight w:val="624" w:hRule="atLeast"/>
          <w:cantSplit w:val="true"/>
        </w:trPr>
        <w:tc>
          <w:tcPr>
            <w:tcW w:w="2632" w:type="dxa"/>
            <w:vMerge w:val="continue"/>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
          </w:p>
        </w:tc>
        <w:tc>
          <w:tcPr>
            <w:tcW w:w="1361"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1.03</w:t>
            </w:r>
          </w:p>
        </w:tc>
        <w:tc>
          <w:tcPr>
            <w:tcW w:w="1382"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1.05</w:t>
            </w:r>
          </w:p>
        </w:tc>
        <w:tc>
          <w:tcPr>
            <w:tcW w:w="1366"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1.07</w:t>
            </w:r>
          </w:p>
        </w:tc>
        <w:tc>
          <w:tcPr>
            <w:tcW w:w="2455"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Bayesian Estimate</w:t>
            </w:r>
          </w:p>
        </w:tc>
      </w:tr>
    </w:tbl>
    <w:p>
      <w:pPr>
        <w:pStyle w:val="Caption1"/>
        <w:keepNext w:val="true"/>
        <w:bidi w:val="0"/>
        <w:jc w:val="left"/>
        <w:rPr/>
      </w:pPr>
      <w:r>
        <w:rPr/>
      </w:r>
    </w:p>
    <w:p>
      <w:pPr>
        <w:pStyle w:val="Caption1"/>
        <w:bidi w:val="0"/>
        <w:jc w:val="left"/>
        <w:rPr/>
      </w:pPr>
      <w:r>
        <w:rPr/>
        <w:t xml:space="preserve">Suppl. Table 2 | </w:t>
      </w:r>
      <w:r>
        <w:rPr>
          <w:iCs/>
          <w:color w:val="000000" w:themeColor="text1"/>
          <w:szCs w:val="18"/>
        </w:rPr>
        <w:t>Effect size estimates for the difference in means of origination probability, overall increase of origination</w:t>
      </w:r>
      <w:r>
        <w:rPr/>
        <w:t xml:space="preserve"> probability and Cohen’s d effect size including </w:t>
      </w:r>
      <w:r>
        <w:rPr/>
        <w:t xml:space="preserve">lower and upper bounds for </w:t>
      </w:r>
      <w:r>
        <w:rPr/>
        <w:t>95% confidence intervals (</w:t>
      </w:r>
      <w:r>
        <w:rPr>
          <w:rFonts w:eastAsia="Noto Serif CJK SC" w:cs="Lohit Devanagari"/>
          <w:iCs/>
          <w:color w:val="000000" w:themeColor="text1"/>
          <w:kern w:val="2"/>
          <w:sz w:val="24"/>
          <w:szCs w:val="18"/>
          <w:lang w:val="en-US" w:eastAsia="zh-CN" w:bidi="hi-IN"/>
        </w:rPr>
        <w:t>bootstrapping</w:t>
      </w:r>
      <w:r>
        <w:rPr/>
        <w:t xml:space="preserve">) and </w:t>
      </w:r>
      <w:r>
        <w:rPr/>
        <w:t>89% highest posterior density estimates (Bayesian estimate).</w:t>
      </w:r>
      <w:r>
        <w:rPr/>
        <w:t xml:space="preserve"> </w:t>
      </w:r>
    </w:p>
    <w:p>
      <w:pPr>
        <w:pStyle w:val="Normal"/>
        <w:bidi w:val="0"/>
        <w:jc w:val="left"/>
        <w:rPr/>
      </w:pPr>
      <w:r>
        <w:rPr/>
      </w:r>
    </w:p>
    <w:p>
      <w:pPr>
        <w:pStyle w:val="Normal"/>
        <w:bidi w:val="0"/>
        <w:jc w:val="left"/>
        <w:rPr/>
      </w:pPr>
      <w:r>
        <w:rPr/>
      </w:r>
      <w:r>
        <w:br w:type="page"/>
      </w:r>
    </w:p>
    <w:p>
      <w:pPr>
        <w:pStyle w:val="Caption1"/>
        <w:bidi w:val="0"/>
        <w:jc w:val="left"/>
        <w:rPr>
          <w:iCs/>
          <w:color w:val="000000" w:themeColor="text1"/>
          <w:szCs w:val="18"/>
        </w:rPr>
      </w:pPr>
      <w:r>
        <w:rPr>
          <w:iCs/>
          <w:color w:val="000000" w:themeColor="text1"/>
          <w:szCs w:val="18"/>
        </w:rPr>
      </w:r>
      <w:r>
        <w:br w:type="page"/>
      </w:r>
    </w:p>
    <w:tbl>
      <w:tblPr>
        <w:tblW w:w="7924" w:type="dxa"/>
        <w:jc w:val="center"/>
        <w:tblInd w:w="0" w:type="dxa"/>
        <w:tblCellMar>
          <w:top w:w="0" w:type="dxa"/>
          <w:left w:w="0" w:type="dxa"/>
          <w:bottom w:w="0" w:type="dxa"/>
          <w:right w:w="0" w:type="dxa"/>
        </w:tblCellMar>
        <w:tblLook w:noHBand="0" w:noVBand="1" w:firstColumn="0" w:lastRow="0" w:lastColumn="0" w:firstRow="1"/>
      </w:tblPr>
      <w:tblGrid>
        <w:gridCol w:w="3175"/>
        <w:gridCol w:w="1361"/>
        <w:gridCol w:w="2022"/>
        <w:gridCol w:w="1366"/>
      </w:tblGrid>
      <w:tr>
        <w:trPr>
          <w:tblHeader w:val="true"/>
          <w:trHeight w:val="624" w:hRule="atLeast"/>
          <w:cantSplit w:val="true"/>
        </w:trPr>
        <w:tc>
          <w:tcPr>
            <w:tcW w:w="3175" w:type="dxa"/>
            <w:tcBorders>
              <w:top w:val="single" w:sz="16" w:space="0" w:color="666666"/>
              <w:bottom w:val="single" w:sz="16" w:space="0" w:color="666666"/>
            </w:tcBorders>
            <w:shd w:color="auto" w:fill="FFFFFF" w:val="clear"/>
            <w:vAlign w:val="center"/>
          </w:tcPr>
          <w:p>
            <w:pPr>
              <w:pStyle w:val="Normal"/>
              <w:pageBreakBefore/>
              <w:spacing w:lineRule="exact" w:line="240" w:before="100" w:after="100"/>
              <w:ind w:left="100" w:right="100" w:hanging="0"/>
              <w:jc w:val="left"/>
              <w:rPr/>
            </w:pPr>
            <w:r>
              <w:rPr>
                <w:rFonts w:eastAsia="DejaVu Sans" w:cs="DejaVu Sans" w:ascii="DejaVu Sans" w:hAnsi="DejaVu Sans"/>
                <w:color w:val="000000"/>
                <w:sz w:val="22"/>
                <w:szCs w:val="22"/>
              </w:rPr>
              <w:t>Group</w:t>
            </w:r>
          </w:p>
        </w:tc>
        <w:tc>
          <w:tcPr>
            <w:tcW w:w="1361"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Lower CI</w:t>
            </w:r>
          </w:p>
        </w:tc>
        <w:tc>
          <w:tcPr>
            <w:tcW w:w="2022"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Log Odds ratio</w:t>
            </w:r>
          </w:p>
        </w:tc>
        <w:tc>
          <w:tcPr>
            <w:tcW w:w="1366"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Upper CI</w:t>
            </w:r>
          </w:p>
        </w:tc>
      </w:tr>
      <w:tr>
        <w:trPr>
          <w:trHeight w:val="581" w:hRule="atLeast"/>
          <w:cantSplit w:val="true"/>
        </w:trPr>
        <w:tc>
          <w:tcPr>
            <w:tcW w:w="3175"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Total</w:t>
            </w:r>
          </w:p>
        </w:tc>
        <w:tc>
          <w:tcPr>
            <w:tcW w:w="136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1.74</w:t>
            </w:r>
          </w:p>
        </w:tc>
        <w:tc>
          <w:tcPr>
            <w:tcW w:w="2022"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1.80</w:t>
            </w:r>
          </w:p>
        </w:tc>
        <w:tc>
          <w:tcPr>
            <w:tcW w:w="1366"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1.86</w:t>
            </w:r>
          </w:p>
        </w:tc>
      </w:tr>
      <w:tr>
        <w:trPr>
          <w:trHeight w:val="581" w:hRule="atLeast"/>
          <w:cantSplit w:val="true"/>
        </w:trPr>
        <w:tc>
          <w:tcPr>
            <w:tcW w:w="3175"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Annelida</w:t>
            </w:r>
          </w:p>
        </w:tc>
        <w:tc>
          <w:tcPr>
            <w:tcW w:w="136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0.60</w:t>
            </w:r>
          </w:p>
        </w:tc>
        <w:tc>
          <w:tcPr>
            <w:tcW w:w="2022"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1.58</w:t>
            </w:r>
          </w:p>
        </w:tc>
        <w:tc>
          <w:tcPr>
            <w:tcW w:w="1366"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2.56</w:t>
            </w:r>
          </w:p>
        </w:tc>
      </w:tr>
      <w:tr>
        <w:trPr>
          <w:trHeight w:val="624"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Arthropoda</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2.32</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2.56</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2.79</w:t>
            </w:r>
          </w:p>
        </w:tc>
      </w:tr>
      <w:tr>
        <w:trPr>
          <w:trHeight w:val="624"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Brachiopoda</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2.05</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2.19</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2.34</w:t>
            </w:r>
          </w:p>
        </w:tc>
      </w:tr>
      <w:tr>
        <w:trPr>
          <w:trHeight w:val="617"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Bryozoa</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1.87</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2.17</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2.47</w:t>
            </w:r>
          </w:p>
        </w:tc>
      </w:tr>
      <w:tr>
        <w:trPr>
          <w:trHeight w:val="581"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Chordata</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0.94</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1.19</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1.44</w:t>
            </w:r>
          </w:p>
        </w:tc>
      </w:tr>
      <w:tr>
        <w:trPr>
          <w:trHeight w:val="581"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Cnidaria</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1.65</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1.85</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2.04</w:t>
            </w:r>
          </w:p>
        </w:tc>
      </w:tr>
      <w:tr>
        <w:trPr>
          <w:trHeight w:val="581"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Echinodermata</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1.17</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1.47</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1.76</w:t>
            </w:r>
          </w:p>
        </w:tc>
      </w:tr>
      <w:tr>
        <w:trPr>
          <w:trHeight w:val="581"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Foraminifera</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0.71</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1.15</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1.60</w:t>
            </w:r>
          </w:p>
        </w:tc>
      </w:tr>
      <w:tr>
        <w:trPr>
          <w:trHeight w:val="581"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Mollusca</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1.53</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1.63</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1.73</w:t>
            </w:r>
          </w:p>
        </w:tc>
      </w:tr>
      <w:tr>
        <w:trPr>
          <w:trHeight w:val="581" w:hRule="atLeast"/>
          <w:cantSplit w:val="true"/>
        </w:trPr>
        <w:tc>
          <w:tcPr>
            <w:tcW w:w="3175"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Porifera</w:t>
            </w:r>
          </w:p>
        </w:tc>
        <w:tc>
          <w:tcPr>
            <w:tcW w:w="136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1.52</w:t>
            </w:r>
          </w:p>
        </w:tc>
        <w:tc>
          <w:tcPr>
            <w:tcW w:w="2022"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1.82</w:t>
            </w:r>
          </w:p>
        </w:tc>
        <w:tc>
          <w:tcPr>
            <w:tcW w:w="1366"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2.12</w:t>
            </w:r>
          </w:p>
        </w:tc>
      </w:tr>
      <w:tr>
        <w:trPr>
          <w:trHeight w:val="581" w:hRule="atLeast"/>
          <w:cantSplit w:val="true"/>
        </w:trPr>
        <w:tc>
          <w:tcPr>
            <w:tcW w:w="3175"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Tremadocian-Lochkovian</w:t>
            </w:r>
          </w:p>
        </w:tc>
        <w:tc>
          <w:tcPr>
            <w:tcW w:w="136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3.35</w:t>
            </w:r>
          </w:p>
        </w:tc>
        <w:tc>
          <w:tcPr>
            <w:tcW w:w="2022"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3.53</w:t>
            </w:r>
          </w:p>
        </w:tc>
        <w:tc>
          <w:tcPr>
            <w:tcW w:w="1366"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3.71</w:t>
            </w:r>
          </w:p>
        </w:tc>
      </w:tr>
      <w:tr>
        <w:trPr>
          <w:trHeight w:val="624"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Pragian-Artinskian</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0.34</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0.51</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0.67</w:t>
            </w:r>
          </w:p>
        </w:tc>
      </w:tr>
      <w:tr>
        <w:trPr>
          <w:trHeight w:val="624"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Kungurian-Pliensbachian</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1.22</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1.37</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1.51</w:t>
            </w:r>
          </w:p>
        </w:tc>
      </w:tr>
      <w:tr>
        <w:trPr>
          <w:trHeight w:val="581" w:hRule="atLeast"/>
          <w:cantSplit w:val="true"/>
        </w:trPr>
        <w:tc>
          <w:tcPr>
            <w:tcW w:w="3175"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Toarcian-Turonian</w:t>
            </w:r>
          </w:p>
        </w:tc>
        <w:tc>
          <w:tcPr>
            <w:tcW w:w="136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1.77</w:t>
            </w:r>
          </w:p>
        </w:tc>
        <w:tc>
          <w:tcPr>
            <w:tcW w:w="2022"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1.98</w:t>
            </w:r>
          </w:p>
        </w:tc>
        <w:tc>
          <w:tcPr>
            <w:tcW w:w="1366"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2.18</w:t>
            </w:r>
          </w:p>
        </w:tc>
      </w:tr>
      <w:tr>
        <w:trPr>
          <w:trHeight w:val="581" w:hRule="atLeast"/>
          <w:cantSplit w:val="true"/>
        </w:trPr>
        <w:tc>
          <w:tcPr>
            <w:tcW w:w="3175"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Coniacian-Pleistocene</w:t>
            </w:r>
          </w:p>
        </w:tc>
        <w:tc>
          <w:tcPr>
            <w:tcW w:w="1361"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0.92</w:t>
            </w:r>
          </w:p>
        </w:tc>
        <w:tc>
          <w:tcPr>
            <w:tcW w:w="2022"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1.04</w:t>
            </w:r>
          </w:p>
        </w:tc>
        <w:tc>
          <w:tcPr>
            <w:tcW w:w="1366"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1.15</w:t>
            </w:r>
          </w:p>
        </w:tc>
      </w:tr>
    </w:tbl>
    <w:p>
      <w:pPr>
        <w:pStyle w:val="Caption1"/>
        <w:bidi w:val="0"/>
        <w:jc w:val="left"/>
        <w:rPr>
          <w:iCs/>
          <w:color w:val="000000" w:themeColor="text1"/>
          <w:szCs w:val="18"/>
        </w:rPr>
      </w:pPr>
      <w:r>
        <w:rPr/>
      </w:r>
    </w:p>
    <w:p>
      <w:pPr>
        <w:pStyle w:val="Caption1"/>
        <w:bidi w:val="0"/>
        <w:jc w:val="left"/>
        <w:rPr/>
      </w:pPr>
      <w:r>
        <w:rPr>
          <w:iCs/>
          <w:color w:val="000000" w:themeColor="text1"/>
          <w:szCs w:val="18"/>
        </w:rPr>
        <w:t xml:space="preserve">Suppl. Table 3 | Origination probability for all major phyla and throughout time after cooling-cooling compared to all other palaeoclimate interactions calculated as log odds ratio, including 95% confidence intervals. </w:t>
      </w:r>
      <w:r>
        <w:rPr>
          <w:iCs/>
          <w:color w:val="000000" w:themeColor="text1"/>
          <w:szCs w:val="18"/>
          <w:lang w:val="en-US"/>
        </w:rPr>
        <w:t xml:space="preserve">The Tremadocian </w:t>
      </w:r>
      <w:r>
        <w:rPr>
          <w:iCs/>
          <w:color w:val="000000" w:themeColor="text1"/>
          <w:szCs w:val="18"/>
          <w:lang w:val="en-US"/>
        </w:rPr>
        <w:t xml:space="preserve">is the oldest stage included in analysis, and </w:t>
      </w:r>
      <w:r>
        <w:rPr>
          <w:rFonts w:eastAsia="Noto Serif CJK SC" w:cs="Lohit Devanagari"/>
          <w:i w:val="false"/>
          <w:iCs/>
          <w:color w:val="000000" w:themeColor="text1"/>
          <w:kern w:val="2"/>
          <w:sz w:val="24"/>
          <w:szCs w:val="18"/>
          <w:lang w:val="en-US" w:eastAsia="zh-CN" w:bidi="hi-IN"/>
        </w:rPr>
        <w:t>the Pleistocene</w:t>
      </w:r>
      <w:r>
        <w:rPr>
          <w:rFonts w:eastAsia="Noto Serif CJK SC" w:cs="Lohit Devanagari"/>
          <w:iCs/>
          <w:color w:val="000000" w:themeColor="text1"/>
          <w:kern w:val="2"/>
          <w:sz w:val="24"/>
          <w:szCs w:val="18"/>
          <w:lang w:val="en-US" w:eastAsia="zh-CN" w:bidi="hi-IN"/>
        </w:rPr>
        <w:t xml:space="preserve"> </w:t>
      </w:r>
      <w:r>
        <w:rPr>
          <w:iCs/>
          <w:color w:val="000000" w:themeColor="text1"/>
          <w:szCs w:val="18"/>
          <w:lang w:val="en-US"/>
        </w:rPr>
        <w:t xml:space="preserve">the youngest. The phyla Hemichordata and Nematoda were removed from the analysis due to insufficient data. </w:t>
      </w:r>
    </w:p>
    <w:p>
      <w:pPr>
        <w:sectPr>
          <w:type w:val="nextPage"/>
          <w:pgSz w:w="11906" w:h="16838"/>
          <w:pgMar w:left="1134" w:right="1134" w:header="0" w:top="1134" w:footer="0" w:bottom="1134" w:gutter="0"/>
          <w:pgNumType w:fmt="decimal"/>
          <w:formProt w:val="false"/>
          <w:textDirection w:val="lrTb"/>
          <w:docGrid w:type="default" w:linePitch="312" w:charSpace="0"/>
        </w:sectPr>
        <w:pStyle w:val="Normal"/>
        <w:bidi w:val="0"/>
        <w:jc w:val="left"/>
        <w:rPr/>
      </w:pPr>
      <w:r>
        <w:rPr/>
      </w:r>
    </w:p>
    <w:tbl>
      <w:tblPr>
        <w:tblW w:w="6359" w:type="dxa"/>
        <w:jc w:val="center"/>
        <w:tblInd w:w="0" w:type="dxa"/>
        <w:tblCellMar>
          <w:top w:w="0" w:type="dxa"/>
          <w:left w:w="0" w:type="dxa"/>
          <w:bottom w:w="0" w:type="dxa"/>
          <w:right w:w="0" w:type="dxa"/>
        </w:tblCellMar>
        <w:tblLook w:noHBand="0" w:noVBand="1" w:firstColumn="0" w:lastRow="0" w:lastColumn="0" w:firstRow="1"/>
      </w:tblPr>
      <w:tblGrid>
        <w:gridCol w:w="2081"/>
        <w:gridCol w:w="989"/>
        <w:gridCol w:w="1039"/>
        <w:gridCol w:w="1139"/>
        <w:gridCol w:w="1111"/>
      </w:tblGrid>
      <w:tr>
        <w:trPr>
          <w:tblHeader w:val="true"/>
          <w:trHeight w:val="624" w:hRule="atLeast"/>
          <w:cantSplit w:val="true"/>
        </w:trPr>
        <w:tc>
          <w:tcPr>
            <w:tcW w:w="2081" w:type="dxa"/>
            <w:tcBorders>
              <w:top w:val="single" w:sz="16" w:space="0" w:color="666666"/>
              <w:bottom w:val="single" w:sz="16" w:space="0" w:color="666666"/>
            </w:tcBorders>
            <w:shd w:color="auto" w:fill="FFFFFF" w:val="clear"/>
            <w:vAlign w:val="center"/>
          </w:tcPr>
          <w:p>
            <w:pPr>
              <w:pStyle w:val="Normal"/>
              <w:pageBreakBefore/>
              <w:spacing w:lineRule="exact" w:line="240" w:before="100" w:after="100"/>
              <w:ind w:left="100" w:right="100" w:hanging="0"/>
              <w:jc w:val="left"/>
              <w:rPr/>
            </w:pPr>
            <w:r>
              <w:rPr>
                <w:rFonts w:eastAsia="DejaVu Sans" w:cs="DejaVu Sans" w:ascii="DejaVu Sans" w:hAnsi="DejaVu Sans"/>
                <w:color w:val="000000"/>
                <w:sz w:val="22"/>
                <w:szCs w:val="22"/>
              </w:rPr>
              <w:t>Phylum</w:t>
            </w:r>
          </w:p>
        </w:tc>
        <w:tc>
          <w:tcPr>
            <w:tcW w:w="98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Class</w:t>
            </w:r>
          </w:p>
        </w:tc>
        <w:tc>
          <w:tcPr>
            <w:tcW w:w="10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Order</w:t>
            </w:r>
          </w:p>
        </w:tc>
        <w:tc>
          <w:tcPr>
            <w:tcW w:w="11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Family</w:t>
            </w:r>
          </w:p>
        </w:tc>
        <w:tc>
          <w:tcPr>
            <w:tcW w:w="1111"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Genus</w:t>
            </w:r>
          </w:p>
        </w:tc>
      </w:tr>
      <w:tr>
        <w:trPr>
          <w:trHeight w:val="581"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Annelida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4</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14</w:t>
            </w:r>
          </w:p>
        </w:tc>
      </w:tr>
      <w:tr>
        <w:trPr>
          <w:trHeight w:val="624"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Arthropoda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4</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20</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162</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623</w:t>
            </w:r>
          </w:p>
        </w:tc>
      </w:tr>
      <w:tr>
        <w:trPr>
          <w:trHeight w:val="624"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Brachiopoda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6</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22</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304</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1,296</w:t>
            </w:r>
          </w:p>
        </w:tc>
      </w:tr>
      <w:tr>
        <w:trPr>
          <w:trHeight w:val="617"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Bryozoa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13</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123</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266</w:t>
            </w:r>
          </w:p>
        </w:tc>
      </w:tr>
      <w:tr>
        <w:trPr>
          <w:trHeight w:val="581"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Chordata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9</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104</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250</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488</w:t>
            </w:r>
          </w:p>
        </w:tc>
      </w:tr>
      <w:tr>
        <w:trPr>
          <w:trHeight w:val="581"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Cnidaria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185</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573</w:t>
            </w:r>
          </w:p>
        </w:tc>
      </w:tr>
      <w:tr>
        <w:trPr>
          <w:trHeight w:val="581"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Echinodermata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8</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50</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135</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249</w:t>
            </w:r>
          </w:p>
        </w:tc>
      </w:tr>
      <w:tr>
        <w:trPr>
          <w:trHeight w:val="581"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Foraminifera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7</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31</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89</w:t>
            </w:r>
          </w:p>
        </w:tc>
      </w:tr>
      <w:tr>
        <w:trPr>
          <w:trHeight w:val="581"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Hemichordata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7</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20</w:t>
            </w:r>
          </w:p>
        </w:tc>
      </w:tr>
      <w:tr>
        <w:trPr>
          <w:trHeight w:val="624"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Hyolitha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w:t>
            </w:r>
          </w:p>
        </w:tc>
      </w:tr>
      <w:tr>
        <w:trPr>
          <w:trHeight w:val="600" w:hRule="atLeast"/>
          <w:cantSplit w:val="true"/>
        </w:trPr>
        <w:tc>
          <w:tcPr>
            <w:tcW w:w="208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Mollusca</w:t>
            </w:r>
          </w:p>
        </w:tc>
        <w:tc>
          <w:tcPr>
            <w:tcW w:w="98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8</w:t>
            </w:r>
          </w:p>
        </w:tc>
        <w:tc>
          <w:tcPr>
            <w:tcW w:w="10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80</w:t>
            </w:r>
          </w:p>
        </w:tc>
        <w:tc>
          <w:tcPr>
            <w:tcW w:w="1139"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628</w:t>
            </w:r>
          </w:p>
        </w:tc>
        <w:tc>
          <w:tcPr>
            <w:tcW w:w="111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2,475</w:t>
            </w:r>
          </w:p>
        </w:tc>
      </w:tr>
      <w:tr>
        <w:trPr>
          <w:trHeight w:val="581" w:hRule="atLeast"/>
          <w:cantSplit w:val="true"/>
        </w:trPr>
        <w:tc>
          <w:tcPr>
            <w:tcW w:w="2081"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Porifera</w:t>
            </w:r>
          </w:p>
        </w:tc>
        <w:tc>
          <w:tcPr>
            <w:tcW w:w="989"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5</w:t>
            </w:r>
          </w:p>
        </w:tc>
        <w:tc>
          <w:tcPr>
            <w:tcW w:w="1039"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32</w:t>
            </w:r>
          </w:p>
        </w:tc>
        <w:tc>
          <w:tcPr>
            <w:tcW w:w="1139"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109</w:t>
            </w:r>
          </w:p>
        </w:tc>
        <w:tc>
          <w:tcPr>
            <w:tcW w:w="1111"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240</w:t>
            </w:r>
          </w:p>
        </w:tc>
      </w:tr>
    </w:tbl>
    <w:p>
      <w:pPr>
        <w:pStyle w:val="Normal"/>
        <w:bidi w:val="0"/>
        <w:jc w:val="left"/>
        <w:rPr/>
      </w:pPr>
      <w:r>
        <w:rPr/>
      </w:r>
    </w:p>
    <w:p>
      <w:pPr>
        <w:pStyle w:val="Normal"/>
        <w:bidi w:val="0"/>
        <w:jc w:val="left"/>
        <w:rPr/>
      </w:pPr>
      <w:r>
        <w:rPr/>
        <w:t xml:space="preserve">Suppl. Table </w:t>
      </w:r>
      <w:r>
        <w:rPr/>
        <w:t>4</w:t>
      </w:r>
      <w:r>
        <w:rPr/>
        <w:t xml:space="preserve"> | Number of classes, order, families, and genera within every major phylum after data-cleaning and sampling-stan</w:t>
      </w:r>
      <w:r>
        <w:rPr/>
        <w:t xml:space="preserve">dardization. </w:t>
      </w:r>
      <w:r>
        <w:br w:type="page"/>
      </w:r>
    </w:p>
    <w:p>
      <w:pPr>
        <w:pStyle w:val="Normal"/>
        <w:bidi w:val="0"/>
        <w:jc w:val="left"/>
        <w:rPr/>
      </w:pPr>
      <w:r>
        <w:rPr/>
      </w:r>
    </w:p>
    <w:tbl>
      <w:tblPr>
        <w:tblW w:w="7507" w:type="dxa"/>
        <w:jc w:val="center"/>
        <w:tblInd w:w="0" w:type="dxa"/>
        <w:tblCellMar>
          <w:top w:w="0" w:type="dxa"/>
          <w:left w:w="0" w:type="dxa"/>
          <w:bottom w:w="0" w:type="dxa"/>
          <w:right w:w="0" w:type="dxa"/>
        </w:tblCellMar>
        <w:tblLook w:noHBand="0" w:noVBand="1" w:firstColumn="0" w:lastRow="0" w:lastColumn="0" w:firstRow="1"/>
      </w:tblPr>
      <w:tblGrid>
        <w:gridCol w:w="1408"/>
        <w:gridCol w:w="1553"/>
        <w:gridCol w:w="2272"/>
        <w:gridCol w:w="2274"/>
      </w:tblGrid>
      <w:tr>
        <w:trPr>
          <w:tblHeader w:val="true"/>
          <w:trHeight w:val="617" w:hRule="atLeast"/>
          <w:cantSplit w:val="true"/>
        </w:trPr>
        <w:tc>
          <w:tcPr>
            <w:tcW w:w="1408"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1553"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Model</w:t>
            </w:r>
          </w:p>
        </w:tc>
        <w:tc>
          <w:tcPr>
            <w:tcW w:w="2272"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Intercept</w:t>
            </w:r>
          </w:p>
        </w:tc>
        <w:tc>
          <w:tcPr>
            <w:tcW w:w="2274"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Interaction</w:t>
            </w:r>
          </w:p>
        </w:tc>
      </w:tr>
      <w:tr>
        <w:trPr>
          <w:trHeight w:val="624" w:hRule="atLeast"/>
          <w:cantSplit w:val="true"/>
        </w:trPr>
        <w:tc>
          <w:tcPr>
            <w:tcW w:w="1408" w:type="dxa"/>
            <w:vMerge w:val="restart"/>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Warming</w:t>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trend.st1</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xml:space="preserve">0.01 +- 0.05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trend.st2</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-1.91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-0.26 +- 0.06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trend.st3</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-1.92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-0.38 +- 0.1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trend.st4</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-1.91 +- 0.03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-0.26 +- 0.11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trend.st5</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-1.92 +- 0.03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-0.47 +- 0.1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trend.st6</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-1.94 +- 0.03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-0.64 +- 0.1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trend.st7</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-1.94 +- 0.03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-0.68 +- 0.11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trend.st8</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-1.94 +- 0.03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-0.7 +- 0.11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trend.st9</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-1.91 +- 0.03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-0.27 +- 0.13 *</w:t>
            </w:r>
          </w:p>
        </w:tc>
      </w:tr>
      <w:tr>
        <w:trPr>
          <w:trHeight w:val="624" w:hRule="atLeast"/>
          <w:cantSplit w:val="true"/>
        </w:trPr>
        <w:tc>
          <w:tcPr>
            <w:tcW w:w="1408" w:type="dxa"/>
            <w:vMerge w:val="continue"/>
            <w:tcBorders>
              <w:bottom w:val="dashed" w:sz="8" w:space="0" w:color="A9A9A9"/>
            </w:tcBorders>
            <w:shd w:color="auto" w:fill="FFFFFF" w:val="clear"/>
            <w:vAlign w:val="center"/>
          </w:tcPr>
          <w:p>
            <w:pPr>
              <w:pStyle w:val="Normal"/>
              <w:spacing w:lineRule="exact" w:line="240" w:before="100" w:after="100"/>
              <w:ind w:left="100" w:right="100" w:hanging="0"/>
              <w:jc w:val="left"/>
              <w:rPr/>
            </w:pPr>
            <w:r>
              <w:rPr/>
            </w:r>
          </w:p>
        </w:tc>
        <w:tc>
          <w:tcPr>
            <w:tcW w:w="1553"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trend.st10</w:t>
            </w:r>
          </w:p>
        </w:tc>
        <w:tc>
          <w:tcPr>
            <w:tcW w:w="2272"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-1.9 +- 0.02 ***</w:t>
            </w:r>
          </w:p>
        </w:tc>
        <w:tc>
          <w:tcPr>
            <w:tcW w:w="2274"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xml:space="preserve">-0.01 +- 0.13 </w:t>
            </w:r>
          </w:p>
        </w:tc>
      </w:tr>
      <w:tr>
        <w:trPr>
          <w:trHeight w:val="624" w:hRule="atLeast"/>
          <w:cantSplit w:val="true"/>
        </w:trPr>
        <w:tc>
          <w:tcPr>
            <w:tcW w:w="1408" w:type="dxa"/>
            <w:vMerge w:val="restart"/>
            <w:tcBorders>
              <w:top w:val="dashed" w:sz="8" w:space="0" w:color="A9A9A9"/>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Cooling</w:t>
            </w:r>
          </w:p>
        </w:tc>
        <w:tc>
          <w:tcPr>
            <w:tcW w:w="1553"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trend.st1</w:t>
            </w:r>
          </w:p>
        </w:tc>
        <w:tc>
          <w:tcPr>
            <w:tcW w:w="2272"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-1.82 +- 0.02 ***</w:t>
            </w:r>
          </w:p>
        </w:tc>
        <w:tc>
          <w:tcPr>
            <w:tcW w:w="2274"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0.19 +- 0.04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trend.st2</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-1.83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0.27 +- 0.06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trend.st3</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-1.82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0.86 +- 0.1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trend.st4</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-1.79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1.44 +- 0.1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trend.st5</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-1.81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1.34 +- 0.11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trend.st6</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-1.83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1.32 +- 0.1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trend.st7</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-1.85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1.25 +- 0.11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trend.st8</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-1.87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1.22 +- 0.12 ***</w:t>
            </w:r>
          </w:p>
        </w:tc>
      </w:tr>
      <w:tr>
        <w:trPr>
          <w:trHeight w:val="624" w:hRule="atLeast"/>
          <w:cantSplit w:val="true"/>
        </w:trPr>
        <w:tc>
          <w:tcPr>
            <w:tcW w:w="1408" w:type="dxa"/>
            <w:vMerge w:val="continue"/>
            <w:tcBorders/>
            <w:shd w:color="auto" w:fill="FFFFFF" w:val="clear"/>
            <w:vAlign w:val="center"/>
          </w:tcPr>
          <w:p>
            <w:pPr>
              <w:pStyle w:val="Normal"/>
              <w:spacing w:lineRule="exact" w:line="240" w:before="100" w:after="100"/>
              <w:ind w:left="100" w:right="100" w:hanging="0"/>
              <w:jc w:val="left"/>
              <w:rPr/>
            </w:pPr>
            <w:r>
              <w:rPr/>
            </w:r>
          </w:p>
        </w:tc>
        <w:tc>
          <w:tcPr>
            <w:tcW w:w="1553"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trend.st9</w:t>
            </w:r>
          </w:p>
        </w:tc>
        <w:tc>
          <w:tcPr>
            <w:tcW w:w="2272"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-1.88 +- 0.02 ***</w:t>
            </w:r>
          </w:p>
        </w:tc>
        <w:tc>
          <w:tcPr>
            <w:tcW w:w="2274"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1.26 +- 0.13 ***</w:t>
            </w:r>
          </w:p>
        </w:tc>
      </w:tr>
      <w:tr>
        <w:trPr>
          <w:trHeight w:val="624" w:hRule="atLeast"/>
          <w:cantSplit w:val="true"/>
        </w:trPr>
        <w:tc>
          <w:tcPr>
            <w:tcW w:w="1408" w:type="dxa"/>
            <w:vMerge w:val="continue"/>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
          </w:p>
        </w:tc>
        <w:tc>
          <w:tcPr>
            <w:tcW w:w="1553"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trend.st10</w:t>
            </w:r>
          </w:p>
        </w:tc>
        <w:tc>
          <w:tcPr>
            <w:tcW w:w="2272"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-1.88 +- 0.02 ***</w:t>
            </w:r>
          </w:p>
        </w:tc>
        <w:tc>
          <w:tcPr>
            <w:tcW w:w="2274"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1.31 +- 0.13 ***</w:t>
            </w:r>
          </w:p>
        </w:tc>
      </w:tr>
    </w:tbl>
    <w:p>
      <w:pPr>
        <w:pStyle w:val="Normal"/>
        <w:bidi w:val="0"/>
        <w:jc w:val="left"/>
        <w:rPr/>
      </w:pPr>
      <w:r>
        <w:rPr/>
      </w:r>
    </w:p>
    <w:p>
      <w:pPr>
        <w:pStyle w:val="Normal"/>
        <w:bidi w:val="0"/>
        <w:jc w:val="left"/>
        <w:rPr/>
      </w:pPr>
      <w:r>
        <w:rPr/>
        <w:t xml:space="preserve">Suppl. Table </w:t>
      </w:r>
      <w:r>
        <w:rPr/>
        <w:t>5</w:t>
      </w:r>
      <w:r>
        <w:rPr/>
        <w:t xml:space="preserve"> | Selection of the final model using a dynamic model framework. 1</w:t>
      </w:r>
      <w:r>
        <w:rPr>
          <w:lang w:val="en-US"/>
        </w:rPr>
        <w:t>0 GLMMs for each ∆T</w:t>
      </w:r>
      <w:r>
        <w:rPr>
          <w:vertAlign w:val="subscript"/>
          <w:lang w:val="en-US"/>
        </w:rPr>
        <w:t>trend</w:t>
      </w:r>
      <w:r>
        <w:rPr>
          <w:lang w:val="en-US"/>
        </w:rPr>
        <w:t xml:space="preserve"> were calculated while keeping ∆T</w:t>
      </w:r>
      <w:r>
        <w:rPr>
          <w:vertAlign w:val="subscript"/>
          <w:lang w:val="en-US"/>
        </w:rPr>
        <w:t>change</w:t>
      </w:r>
      <w:r>
        <w:rPr>
          <w:lang w:val="en-US"/>
        </w:rPr>
        <w:t xml:space="preserve"> fixed. The final model for both short-term warming and cooling was then selected using the AIC of each model.</w:t>
      </w:r>
      <w:r>
        <w:br w:type="page"/>
      </w:r>
    </w:p>
    <w:tbl>
      <w:tblPr>
        <w:tblW w:w="8944" w:type="dxa"/>
        <w:jc w:val="center"/>
        <w:tblInd w:w="0" w:type="dxa"/>
        <w:tblCellMar>
          <w:top w:w="0" w:type="dxa"/>
          <w:left w:w="0" w:type="dxa"/>
          <w:bottom w:w="0" w:type="dxa"/>
          <w:right w:w="0" w:type="dxa"/>
        </w:tblCellMar>
        <w:tblLook w:noHBand="0" w:noVBand="1" w:firstColumn="0" w:lastRow="0" w:lastColumn="0" w:firstRow="1"/>
      </w:tblPr>
      <w:tblGrid>
        <w:gridCol w:w="5141"/>
        <w:gridCol w:w="1821"/>
        <w:gridCol w:w="991"/>
        <w:gridCol w:w="991"/>
      </w:tblGrid>
      <w:tr>
        <w:trPr>
          <w:tblHeader w:val="true"/>
          <w:cantSplit w:val="true"/>
        </w:trPr>
        <w:tc>
          <w:tcPr>
            <w:tcW w:w="5141" w:type="dxa"/>
            <w:tcBorders>
              <w:top w:val="single" w:sz="16" w:space="0" w:color="666666"/>
              <w:bottom w:val="single" w:sz="16" w:space="0" w:color="666666"/>
            </w:tcBorders>
            <w:shd w:color="auto" w:fill="FFFFFF" w:val="clear"/>
            <w:vAlign w:val="center"/>
          </w:tcPr>
          <w:p>
            <w:pPr>
              <w:pStyle w:val="Normal"/>
              <w:pageBreakBefore/>
              <w:spacing w:lineRule="exact" w:line="240" w:before="100" w:after="100"/>
              <w:ind w:left="100" w:right="100" w:hanging="0"/>
              <w:jc w:val="left"/>
              <w:rPr/>
            </w:pPr>
            <w:r>
              <w:rPr>
                <w:rFonts w:eastAsia="DejaVu Sans" w:cs="DejaVu Sans" w:ascii="DejaVu Sans" w:hAnsi="DejaVu Sans"/>
                <w:color w:val="000000"/>
                <w:sz w:val="22"/>
                <w:szCs w:val="22"/>
              </w:rPr>
              <w:t>Model Structure</w:t>
            </w:r>
          </w:p>
        </w:tc>
        <w:tc>
          <w:tcPr>
            <w:tcW w:w="1821"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Overdispersed</w:t>
            </w:r>
          </w:p>
        </w:tc>
        <w:tc>
          <w:tcPr>
            <w:tcW w:w="991"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AIC</w:t>
            </w:r>
          </w:p>
        </w:tc>
        <w:tc>
          <w:tcPr>
            <w:tcW w:w="991"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BIC</w:t>
            </w:r>
          </w:p>
        </w:tc>
      </w:tr>
      <w:tr>
        <w:trPr>
          <w:cantSplit w:val="true"/>
        </w:trPr>
        <w:tc>
          <w:tcPr>
            <w:tcW w:w="514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Warming</w:t>
            </w:r>
          </w:p>
        </w:tc>
        <w:tc>
          <w:tcPr>
            <w:tcW w:w="1821"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16,678</w:t>
            </w:r>
          </w:p>
        </w:tc>
        <w:tc>
          <w:tcPr>
            <w:tcW w:w="991" w:type="dxa"/>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16,702</w:t>
            </w:r>
          </w:p>
        </w:tc>
      </w:tr>
      <w:tr>
        <w:trPr>
          <w:cantSplit w:val="true"/>
        </w:trPr>
        <w:tc>
          <w:tcPr>
            <w:tcW w:w="514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Warming + Pal. Int.</w:t>
            </w:r>
          </w:p>
        </w:tc>
        <w:tc>
          <w:tcPr>
            <w:tcW w:w="182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16,620</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16,652</w:t>
            </w:r>
          </w:p>
        </w:tc>
      </w:tr>
      <w:tr>
        <w:trPr>
          <w:cantSplit w:val="true"/>
        </w:trPr>
        <w:tc>
          <w:tcPr>
            <w:tcW w:w="514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Cooling + Lag</w:t>
            </w:r>
          </w:p>
        </w:tc>
        <w:tc>
          <w:tcPr>
            <w:tcW w:w="182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19,502</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19,527</w:t>
            </w:r>
          </w:p>
        </w:tc>
      </w:tr>
      <w:tr>
        <w:trPr>
          <w:cantSplit w:val="true"/>
        </w:trPr>
        <w:tc>
          <w:tcPr>
            <w:tcW w:w="514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Cooling + Pal. Int.</w:t>
            </w:r>
          </w:p>
        </w:tc>
        <w:tc>
          <w:tcPr>
            <w:tcW w:w="182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18,861</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18,893</w:t>
            </w:r>
          </w:p>
        </w:tc>
      </w:tr>
      <w:tr>
        <w:trPr>
          <w:cantSplit w:val="true"/>
        </w:trPr>
        <w:tc>
          <w:tcPr>
            <w:tcW w:w="514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Warming + Lag</w:t>
            </w:r>
          </w:p>
        </w:tc>
        <w:tc>
          <w:tcPr>
            <w:tcW w:w="182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15,898</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15,929</w:t>
            </w:r>
          </w:p>
        </w:tc>
      </w:tr>
      <w:tr>
        <w:trPr>
          <w:cantSplit w:val="true"/>
        </w:trPr>
        <w:tc>
          <w:tcPr>
            <w:tcW w:w="514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Warming + Lag + Pal. Int.</w:t>
            </w:r>
          </w:p>
        </w:tc>
        <w:tc>
          <w:tcPr>
            <w:tcW w:w="182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15,812</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15,852</w:t>
            </w:r>
          </w:p>
        </w:tc>
      </w:tr>
      <w:tr>
        <w:trPr>
          <w:cantSplit w:val="true"/>
        </w:trPr>
        <w:tc>
          <w:tcPr>
            <w:tcW w:w="514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Cooling + Lag</w:t>
            </w:r>
          </w:p>
        </w:tc>
        <w:tc>
          <w:tcPr>
            <w:tcW w:w="182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15,672</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15,704</w:t>
            </w:r>
          </w:p>
        </w:tc>
      </w:tr>
      <w:tr>
        <w:trPr>
          <w:cantSplit w:val="true"/>
        </w:trPr>
        <w:tc>
          <w:tcPr>
            <w:tcW w:w="514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Cooling + Lag + Pal. Int.</w:t>
            </w:r>
          </w:p>
        </w:tc>
        <w:tc>
          <w:tcPr>
            <w:tcW w:w="182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15,650</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15,690</w:t>
            </w:r>
          </w:p>
        </w:tc>
      </w:tr>
      <w:tr>
        <w:trPr>
          <w:cantSplit w:val="true"/>
        </w:trPr>
        <w:tc>
          <w:tcPr>
            <w:tcW w:w="514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Warming + Lag + Warming:Lag</w:t>
            </w:r>
          </w:p>
        </w:tc>
        <w:tc>
          <w:tcPr>
            <w:tcW w:w="182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15,889</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15,928</w:t>
            </w:r>
          </w:p>
        </w:tc>
      </w:tr>
      <w:tr>
        <w:trPr>
          <w:cantSplit w:val="true"/>
        </w:trPr>
        <w:tc>
          <w:tcPr>
            <w:tcW w:w="514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Warming + Lag + Warming:Lag + Pal. Int.</w:t>
            </w:r>
          </w:p>
        </w:tc>
        <w:tc>
          <w:tcPr>
            <w:tcW w:w="1821" w:type="dxa"/>
            <w:tcBorders>
              <w:bottom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15,791</w:t>
            </w:r>
          </w:p>
        </w:tc>
        <w:tc>
          <w:tcPr>
            <w:tcW w:w="991" w:type="dxa"/>
            <w:tcBorders>
              <w:bottom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15,839</w:t>
            </w:r>
          </w:p>
        </w:tc>
      </w:tr>
      <w:tr>
        <w:trPr>
          <w:cantSplit w:val="true"/>
        </w:trPr>
        <w:tc>
          <w:tcPr>
            <w:tcW w:w="514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Cooling + Lag + Cooling:Lag</w:t>
            </w:r>
          </w:p>
        </w:tc>
        <w:tc>
          <w:tcPr>
            <w:tcW w:w="1821" w:type="dxa"/>
            <w:tcBorders>
              <w:top w:val="dashed" w:sz="8" w:space="0" w:color="A9A9A9"/>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15,554</w:t>
            </w:r>
          </w:p>
        </w:tc>
        <w:tc>
          <w:tcPr>
            <w:tcW w:w="991" w:type="dxa"/>
            <w:tcBorders>
              <w:top w:val="dashed" w:sz="8" w:space="0" w:color="A9A9A9"/>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15,594</w:t>
            </w:r>
          </w:p>
        </w:tc>
      </w:tr>
      <w:tr>
        <w:trPr>
          <w:cantSplit w:val="true"/>
        </w:trPr>
        <w:tc>
          <w:tcPr>
            <w:tcW w:w="5141"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 Cooling + Lag + Cooling:Lag + Pal. Int.</w:t>
            </w:r>
          </w:p>
        </w:tc>
        <w:tc>
          <w:tcPr>
            <w:tcW w:w="1821"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 ***</w:t>
            </w:r>
          </w:p>
        </w:tc>
        <w:tc>
          <w:tcPr>
            <w:tcW w:w="991"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15,535</w:t>
            </w:r>
          </w:p>
        </w:tc>
        <w:tc>
          <w:tcPr>
            <w:tcW w:w="991" w:type="dxa"/>
            <w:tcBorders>
              <w:bottom w:val="single" w:sz="16" w:space="0" w:color="666666"/>
            </w:tcBorders>
            <w:shd w:color="auto" w:fill="FFFFFF" w:val="clear"/>
            <w:vAlign w:val="center"/>
          </w:tcPr>
          <w:p>
            <w:pPr>
              <w:pStyle w:val="Normal"/>
              <w:spacing w:lineRule="exact" w:line="240" w:before="100" w:after="100"/>
              <w:ind w:left="100" w:right="100" w:hanging="0"/>
              <w:jc w:val="right"/>
              <w:rPr/>
            </w:pPr>
            <w:r>
              <w:rPr>
                <w:rFonts w:eastAsia="DejaVu Sans" w:cs="DejaVu Sans" w:ascii="DejaVu Sans" w:hAnsi="DejaVu Sans"/>
                <w:color w:val="000000"/>
                <w:sz w:val="22"/>
                <w:szCs w:val="22"/>
              </w:rPr>
              <w:t>15,583</w:t>
            </w:r>
          </w:p>
        </w:tc>
      </w:tr>
    </w:tbl>
    <w:p>
      <w:pPr>
        <w:pStyle w:val="Normal"/>
        <w:bidi w:val="0"/>
        <w:jc w:val="left"/>
        <w:rPr>
          <w:lang w:val="en-US"/>
        </w:rPr>
      </w:pPr>
      <w:r>
        <w:rPr/>
      </w:r>
    </w:p>
    <w:p>
      <w:pPr>
        <w:pStyle w:val="Normal"/>
        <w:bidi w:val="0"/>
        <w:jc w:val="left"/>
        <w:rPr>
          <w:lang w:val="en-US"/>
        </w:rPr>
      </w:pPr>
      <w:r>
        <w:rPr>
          <w:lang w:val="en-US"/>
        </w:rPr>
        <w:t xml:space="preserve">Suppl. Table </w:t>
      </w:r>
      <w:r>
        <w:rPr>
          <w:lang w:val="en-US"/>
        </w:rPr>
        <w:t>6</w:t>
      </w:r>
      <w:r>
        <w:rPr>
          <w:lang w:val="en-US"/>
        </w:rPr>
        <w:t xml:space="preserve"> | Comparison of model performance for traditional models covering first- and second-order relationships of origination and climate versus models allowing for paleoclimate interactions. The latter are based on the same model structure, but explicitly allow for interactions of long-term temperature trends and short-term climate changes within a dynamic modeling framework (+ Pal. Int). Each model was tested for overdispersion including significance (indicated by stars, based on adaptive Gauss-Hermite quadrature approximation). Model comparison was based on Akaikes information criterion (AIC) and is consistent with Bayesian information criterion (BIC). </w:t>
      </w:r>
      <w:r>
        <w:br w:type="page"/>
      </w:r>
    </w:p>
    <w:p>
      <w:pPr>
        <w:pStyle w:val="Normal"/>
        <w:bidi w:val="0"/>
        <w:jc w:val="left"/>
        <w:rPr>
          <w:lang w:val="en-US"/>
        </w:rPr>
      </w:pPr>
      <w:r>
        <w:rPr/>
        <w:drawing>
          <wp:anchor behindDoc="0" distT="0" distB="0" distL="0" distR="0" simplePos="0" locked="0" layoutInCell="1" allowOverlap="1" relativeHeight="4">
            <wp:simplePos x="0" y="0"/>
            <wp:positionH relativeFrom="column">
              <wp:posOffset>503555</wp:posOffset>
            </wp:positionH>
            <wp:positionV relativeFrom="paragraph">
              <wp:posOffset>165735</wp:posOffset>
            </wp:positionV>
            <wp:extent cx="5400675" cy="7636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0675" cy="7636510"/>
                    </a:xfrm>
                    <a:prstGeom prst="rect">
                      <a:avLst/>
                    </a:prstGeom>
                  </pic:spPr>
                </pic:pic>
              </a:graphicData>
            </a:graphic>
          </wp:anchor>
        </w:drawing>
      </w:r>
    </w:p>
    <w:p>
      <w:pPr>
        <w:pStyle w:val="Normal"/>
        <w:bidi w:val="0"/>
        <w:jc w:val="left"/>
        <w:rPr>
          <w:lang w:val="en-US"/>
        </w:rPr>
      </w:pPr>
      <w:r>
        <w:rPr/>
      </w:r>
    </w:p>
    <w:p>
      <w:pPr>
        <w:pStyle w:val="Normal"/>
        <w:bidi w:val="0"/>
        <w:jc w:val="left"/>
        <w:rPr/>
      </w:pPr>
      <w:r>
        <w:rPr>
          <w:lang w:val="en-US"/>
        </w:rPr>
        <w:t xml:space="preserve">Suppl. Figure </w:t>
      </w:r>
      <w:r>
        <w:rPr>
          <w:lang w:val="en-US"/>
        </w:rPr>
        <w:t>1</w:t>
      </w:r>
      <w:r>
        <w:rPr>
          <w:lang w:val="en-US"/>
        </w:rPr>
        <w:t xml:space="preserve"> | A) Total number of observations per phyla and stage. B) Percentage of total number of observations per phyla and stage. Stage 14 is the oldest, and stage 95 the youngest period. </w:t>
      </w:r>
      <w:r>
        <w:br w:type="page"/>
      </w:r>
    </w:p>
    <w:p>
      <w:pPr>
        <w:pStyle w:val="Normal"/>
        <w:bidi w:val="0"/>
        <w:jc w:val="left"/>
        <w:rPr>
          <w:lang w:val="en-US"/>
        </w:rPr>
      </w:pPr>
      <w:r>
        <w:rPr/>
      </w:r>
    </w:p>
    <w:p>
      <w:pPr>
        <w:pStyle w:val="Normal"/>
        <w:bidi w:val="0"/>
        <w:jc w:val="left"/>
        <w:rPr>
          <w:lang w:val="en-US"/>
        </w:rPr>
      </w:pPr>
      <w:r>
        <w:rPr/>
        <w:drawing>
          <wp:anchor behindDoc="0" distT="0" distB="0" distL="0" distR="0" simplePos="0" locked="0" layoutInCell="1" allowOverlap="1" relativeHeight="5">
            <wp:simplePos x="0" y="0"/>
            <wp:positionH relativeFrom="column">
              <wp:posOffset>803275</wp:posOffset>
            </wp:positionH>
            <wp:positionV relativeFrom="paragraph">
              <wp:posOffset>139700</wp:posOffset>
            </wp:positionV>
            <wp:extent cx="4572000" cy="3236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236595"/>
                    </a:xfrm>
                    <a:prstGeom prst="rect">
                      <a:avLst/>
                    </a:prstGeom>
                  </pic:spPr>
                </pic:pic>
              </a:graphicData>
            </a:graphic>
          </wp:anchor>
        </w:drawing>
      </w:r>
    </w:p>
    <w:p>
      <w:pPr>
        <w:pStyle w:val="Normal"/>
        <w:bidi w:val="0"/>
        <w:jc w:val="left"/>
        <w:rPr>
          <w:lang w:val="en-US"/>
        </w:rPr>
      </w:pPr>
      <w:r>
        <w:rPr/>
      </w:r>
    </w:p>
    <w:p>
      <w:pPr>
        <w:pStyle w:val="Normal"/>
        <w:bidi w:val="0"/>
        <w:jc w:val="left"/>
        <w:rPr>
          <w:lang w:val="en-US"/>
        </w:rPr>
      </w:pPr>
      <w:r>
        <w:rPr/>
      </w:r>
    </w:p>
    <w:p>
      <w:pPr>
        <w:pStyle w:val="Normal"/>
        <w:bidi w:val="0"/>
        <w:jc w:val="left"/>
        <w:rPr>
          <w:rFonts w:ascii="Liberation Serif" w:hAnsi="Liberation Serif"/>
          <w:sz w:val="24"/>
          <w:szCs w:val="24"/>
          <w:lang w:val="en-US"/>
        </w:rPr>
      </w:pPr>
      <w:r>
        <w:rPr>
          <w:b w:val="false"/>
          <w:i w:val="false"/>
          <w:strike w:val="false"/>
          <w:dstrike w:val="false"/>
          <w:spacing w:val="0"/>
          <w:sz w:val="24"/>
          <w:szCs w:val="24"/>
          <w:u w:val="none"/>
          <w:lang w:val="en-US"/>
        </w:rPr>
        <w:t xml:space="preserve">Suppl. Figure </w:t>
      </w:r>
      <w:r>
        <w:rPr>
          <w:b w:val="false"/>
          <w:i w:val="false"/>
          <w:strike w:val="false"/>
          <w:dstrike w:val="false"/>
          <w:spacing w:val="0"/>
          <w:sz w:val="24"/>
          <w:szCs w:val="24"/>
          <w:u w:val="none"/>
          <w:lang w:val="en-US"/>
        </w:rPr>
        <w:t>2</w:t>
      </w:r>
      <w:r>
        <w:rPr>
          <w:b w:val="false"/>
          <w:i w:val="false"/>
          <w:strike w:val="false"/>
          <w:dstrike w:val="false"/>
          <w:spacing w:val="0"/>
          <w:sz w:val="24"/>
          <w:szCs w:val="24"/>
          <w:u w:val="none"/>
          <w:lang w:val="en-US"/>
        </w:rPr>
        <w:t xml:space="preserve"> | Difference in means of origination responses after cooling-cooling compared to all other palaeoclimate interactions, based on bootstrapping resampling. A) Bootstrapped distribution of differences in means. Red line shows observed difference and shaded area shows 95% confidence interval. B) Simulation-based null distribution of difference in means compared to observed difference (red line).</w:t>
      </w:r>
      <w:r>
        <w:br w:type="page"/>
      </w:r>
    </w:p>
    <w:p>
      <w:pPr>
        <w:pStyle w:val="Normal"/>
        <w:bidi w:val="0"/>
        <w:jc w:val="left"/>
        <w:rPr>
          <w:lang w:val="en-US"/>
        </w:rPr>
      </w:pPr>
      <w:r>
        <w:rPr/>
        <w:drawing>
          <wp:anchor behindDoc="0" distT="0" distB="0" distL="0" distR="0" simplePos="0" locked="0" layoutInCell="1" allowOverlap="1" relativeHeight="6">
            <wp:simplePos x="0" y="0"/>
            <wp:positionH relativeFrom="column">
              <wp:posOffset>688975</wp:posOffset>
            </wp:positionH>
            <wp:positionV relativeFrom="paragraph">
              <wp:posOffset>137160</wp:posOffset>
            </wp:positionV>
            <wp:extent cx="4572000" cy="3236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236595"/>
                    </a:xfrm>
                    <a:prstGeom prst="rect">
                      <a:avLst/>
                    </a:prstGeom>
                  </pic:spPr>
                </pic:pic>
              </a:graphicData>
            </a:graphic>
          </wp:anchor>
        </w:drawing>
      </w:r>
    </w:p>
    <w:p>
      <w:pPr>
        <w:pStyle w:val="Normal"/>
        <w:bidi w:val="0"/>
        <w:jc w:val="left"/>
        <w:rPr>
          <w:lang w:val="en-US"/>
        </w:rPr>
      </w:pPr>
      <w:r>
        <w:rPr/>
      </w:r>
    </w:p>
    <w:p>
      <w:pPr>
        <w:pStyle w:val="Normal"/>
        <w:bidi w:val="0"/>
        <w:jc w:val="left"/>
        <w:rPr>
          <w:rFonts w:ascii="Liberation Serif" w:hAnsi="Liberation Serif"/>
          <w:sz w:val="24"/>
          <w:szCs w:val="24"/>
        </w:rPr>
      </w:pPr>
      <w:r>
        <w:rPr>
          <w:b w:val="false"/>
          <w:i w:val="false"/>
          <w:strike w:val="false"/>
          <w:dstrike w:val="false"/>
          <w:spacing w:val="0"/>
          <w:sz w:val="24"/>
          <w:szCs w:val="24"/>
          <w:u w:val="none"/>
        </w:rPr>
        <w:t xml:space="preserve">Suppl. Figure </w:t>
      </w:r>
      <w:r>
        <w:rPr>
          <w:b w:val="false"/>
          <w:i w:val="false"/>
          <w:strike w:val="false"/>
          <w:dstrike w:val="false"/>
          <w:spacing w:val="0"/>
          <w:sz w:val="24"/>
          <w:szCs w:val="24"/>
          <w:u w:val="none"/>
        </w:rPr>
        <w:t>3</w:t>
      </w:r>
      <w:r>
        <w:rPr>
          <w:b w:val="false"/>
          <w:i w:val="false"/>
          <w:strike w:val="false"/>
          <w:dstrike w:val="false"/>
          <w:spacing w:val="0"/>
          <w:sz w:val="24"/>
          <w:szCs w:val="24"/>
          <w:u w:val="none"/>
        </w:rPr>
        <w:t xml:space="preserve"> | Quantile-quantile plots for predicted responses of marine fossil groups after palaeoclimate interactions. As these plots indicate deviations from normality, further estimates (difference in means, percentage change, effect change) were calculated using non-parametric methods. </w:t>
      </w:r>
    </w:p>
    <w:p>
      <w:pPr>
        <w:pStyle w:val="Normal"/>
        <w:bidi w:val="0"/>
        <w:jc w:val="left"/>
        <w:rPr>
          <w:lang w:val="en-US"/>
        </w:rPr>
      </w:pPr>
      <w:r>
        <w:rPr/>
      </w:r>
      <w:r>
        <w:br w:type="page"/>
      </w:r>
    </w:p>
    <w:p>
      <w:pPr>
        <w:pStyle w:val="Normal"/>
        <w:bidi w:val="0"/>
        <w:jc w:val="left"/>
        <w:rPr>
          <w:lang w:val="en-US"/>
        </w:rPr>
      </w:pPr>
      <w:r>
        <w:rPr/>
      </w:r>
    </w:p>
    <w:p>
      <w:pPr>
        <w:pStyle w:val="Normal"/>
        <w:bidi w:val="0"/>
        <w:jc w:val="left"/>
        <w:rPr>
          <w:lang w:val="en-US"/>
        </w:rPr>
      </w:pPr>
      <w:r>
        <w:rPr/>
        <w:drawing>
          <wp:anchor behindDoc="0" distT="0" distB="0" distL="0" distR="0" simplePos="0" locked="0" layoutInCell="1" allowOverlap="1" relativeHeight="7">
            <wp:simplePos x="0" y="0"/>
            <wp:positionH relativeFrom="column">
              <wp:posOffset>974725</wp:posOffset>
            </wp:positionH>
            <wp:positionV relativeFrom="paragraph">
              <wp:posOffset>127000</wp:posOffset>
            </wp:positionV>
            <wp:extent cx="4229735" cy="2819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29735" cy="2819400"/>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t xml:space="preserve">Suppl. Figure 4 |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 </w:t>
      </w:r>
      <w:r>
        <w:br w:type="page"/>
      </w:r>
    </w:p>
    <w:p>
      <w:pPr>
        <w:pStyle w:val="Normal"/>
        <w:bidi w:val="0"/>
        <w:jc w:val="left"/>
        <w:rPr/>
      </w:pPr>
      <w:r>
        <w:rPr/>
        <w:drawing>
          <wp:anchor behindDoc="0" distT="0" distB="0" distL="0" distR="0" simplePos="0" locked="0" layoutInCell="1" allowOverlap="1" relativeHeight="8">
            <wp:simplePos x="0" y="0"/>
            <wp:positionH relativeFrom="column">
              <wp:posOffset>3810</wp:posOffset>
            </wp:positionH>
            <wp:positionV relativeFrom="paragraph">
              <wp:posOffset>124460</wp:posOffset>
            </wp:positionV>
            <wp:extent cx="6120130" cy="41757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175760"/>
                    </a:xfrm>
                    <a:prstGeom prst="rect">
                      <a:avLst/>
                    </a:prstGeom>
                  </pic:spPr>
                </pic:pic>
              </a:graphicData>
            </a:graphic>
          </wp:anchor>
        </w:drawing>
      </w:r>
    </w:p>
    <w:p>
      <w:pPr>
        <w:pStyle w:val="Normal"/>
        <w:bidi w:val="0"/>
        <w:jc w:val="left"/>
        <w:rPr/>
      </w:pPr>
      <w:r>
        <w:rPr/>
        <w:t>Suppl. Figure 5 |</w:t>
      </w:r>
      <w:r>
        <w:rPr>
          <w:rStyle w:val="DefaultParagraphFont"/>
          <w:lang w:val="en-US"/>
        </w:rPr>
        <w:t xml:space="preserve"> Comparison of model performance for traditional models covering first- and second-order relationships of origination and temperature versus models allowing for paleoclimate interactions. The latter are based on the same model structure, but explicitly allow for interactions of long-term temperature trends and short-term climate changes within a dynamic modeling framework.</w:t>
      </w:r>
      <w:r>
        <w:rPr>
          <w:lang w:val="en-US"/>
        </w:rPr>
        <w:t xml:space="preserve"> </w:t>
      </w:r>
      <w:r>
        <w:br w:type="page"/>
      </w:r>
    </w:p>
    <w:p>
      <w:pPr>
        <w:pStyle w:val="Normal"/>
        <w:bidi w:val="0"/>
        <w:jc w:val="left"/>
        <w:rPr/>
      </w:pPr>
      <w:r>
        <w:drawing>
          <wp:anchor behindDoc="0" distT="0" distB="0" distL="0" distR="0" simplePos="0" locked="0" layoutInCell="1" allowOverlap="1" relativeHeight="2">
            <wp:simplePos x="0" y="0"/>
            <wp:positionH relativeFrom="column">
              <wp:posOffset>133350</wp:posOffset>
            </wp:positionH>
            <wp:positionV relativeFrom="paragraph">
              <wp:posOffset>-12065</wp:posOffset>
            </wp:positionV>
            <wp:extent cx="5853430" cy="8276590"/>
            <wp:effectExtent l="0" t="0" r="0" b="0"/>
            <wp:wrapSquare wrapText="bothSides"/>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7"/>
                    <a:stretch>
                      <a:fillRect/>
                    </a:stretch>
                  </pic:blipFill>
                  <pic:spPr bwMode="auto">
                    <a:xfrm>
                      <a:off x="0" y="0"/>
                      <a:ext cx="5853430" cy="8276590"/>
                    </a:xfrm>
                    <a:prstGeom prst="rect">
                      <a:avLst/>
                    </a:prstGeom>
                  </pic:spPr>
                </pic:pic>
              </a:graphicData>
            </a:graphic>
          </wp:anchor>
        </w:drawing>
      </w:r>
      <w:r>
        <w:rPr/>
        <w:t xml:space="preserve">Suppl. Figure </w:t>
      </w:r>
      <w:r>
        <w:rPr/>
        <w:t>6</w:t>
      </w:r>
      <w:r>
        <w:rPr/>
        <w:t xml:space="preserve"> | </w:t>
      </w:r>
      <w:r>
        <w:rPr>
          <w:b w:val="false"/>
          <w:i w:val="false"/>
          <w:strike w:val="false"/>
          <w:dstrike w:val="false"/>
          <w:spacing w:val="0"/>
          <w:sz w:val="24"/>
          <w:szCs w:val="24"/>
          <w:u w:val="none"/>
        </w:rPr>
        <w:t>Number of fossil genera within data sets. Diversity metrics shown here are based on filtered and sampling-standardised data. A) Sampled-in-bin diversity corrected for three-timer sampling completeness. B) Boundary-crosser diversity, which is the number of taxa with ranges crossing the boundaries of the interval. C) Range-through diversity, which is based on all taxa in the interval.</w:t>
      </w:r>
    </w:p>
    <w:p>
      <w:pPr>
        <w:pStyle w:val="Normal"/>
        <w:bidi w:val="0"/>
        <w:jc w:val="left"/>
        <w:rPr/>
      </w:pPr>
      <w:r>
        <w:drawing>
          <wp:anchor behindDoc="0" distT="0" distB="0" distL="0" distR="0" simplePos="0" locked="0" layoutInCell="1" allowOverlap="1" relativeHeight="3">
            <wp:simplePos x="0" y="0"/>
            <wp:positionH relativeFrom="column">
              <wp:posOffset>172720</wp:posOffset>
            </wp:positionH>
            <wp:positionV relativeFrom="paragraph">
              <wp:posOffset>114935</wp:posOffset>
            </wp:positionV>
            <wp:extent cx="5774690" cy="8165465"/>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8"/>
                    <a:stretch>
                      <a:fillRect/>
                    </a:stretch>
                  </pic:blipFill>
                  <pic:spPr bwMode="auto">
                    <a:xfrm>
                      <a:off x="0" y="0"/>
                      <a:ext cx="5774690" cy="8165465"/>
                    </a:xfrm>
                    <a:prstGeom prst="rect">
                      <a:avLst/>
                    </a:prstGeom>
                  </pic:spPr>
                </pic:pic>
              </a:graphicData>
            </a:graphic>
          </wp:anchor>
        </w:drawing>
      </w:r>
      <w:r>
        <w:rPr/>
        <w:t xml:space="preserve">Suppl. Figure </w:t>
      </w:r>
      <w:r>
        <w:rPr/>
        <w:t>7</w:t>
      </w:r>
      <w:r>
        <w:rPr/>
        <w:t xml:space="preserve"> | </w:t>
      </w:r>
      <w:r>
        <w:rPr>
          <w:b w:val="false"/>
          <w:i w:val="false"/>
          <w:strike w:val="false"/>
          <w:dstrike w:val="false"/>
          <w:spacing w:val="0"/>
          <w:sz w:val="24"/>
          <w:szCs w:val="24"/>
          <w:u w:val="none"/>
        </w:rPr>
        <w:t>Origination rates for all studied phyla based on filtered and sampling-standardi</w:t>
      </w:r>
      <w:r>
        <w:rPr>
          <w:b w:val="false"/>
          <w:i w:val="false"/>
          <w:strike w:val="false"/>
          <w:dstrike w:val="false"/>
          <w:spacing w:val="0"/>
          <w:sz w:val="24"/>
          <w:szCs w:val="24"/>
          <w:u w:val="none"/>
        </w:rPr>
        <w:t>z</w:t>
      </w:r>
      <w:r>
        <w:rPr>
          <w:b w:val="false"/>
          <w:i w:val="false"/>
          <w:strike w:val="false"/>
          <w:dstrike w:val="false"/>
          <w:spacing w:val="0"/>
          <w:sz w:val="24"/>
          <w:szCs w:val="24"/>
          <w:u w:val="none"/>
        </w:rPr>
        <w:t>ed data. A) Per-capita origination with values not normali</w:t>
      </w:r>
      <w:r>
        <w:rPr>
          <w:b w:val="false"/>
          <w:i w:val="false"/>
          <w:strike w:val="false"/>
          <w:dstrike w:val="false"/>
          <w:spacing w:val="0"/>
          <w:sz w:val="24"/>
          <w:szCs w:val="24"/>
          <w:u w:val="none"/>
        </w:rPr>
        <w:t>z</w:t>
      </w:r>
      <w:r>
        <w:rPr>
          <w:b w:val="false"/>
          <w:i w:val="false"/>
          <w:strike w:val="false"/>
          <w:dstrike w:val="false"/>
          <w:spacing w:val="0"/>
          <w:sz w:val="24"/>
          <w:szCs w:val="24"/>
          <w:u w:val="none"/>
        </w:rPr>
        <w:t>ed with bin lengths. B) Three-timer origination rates with values normali</w:t>
      </w:r>
      <w:r>
        <w:rPr>
          <w:b w:val="false"/>
          <w:i w:val="false"/>
          <w:strike w:val="false"/>
          <w:dstrike w:val="false"/>
          <w:spacing w:val="0"/>
          <w:sz w:val="24"/>
          <w:szCs w:val="24"/>
          <w:u w:val="none"/>
        </w:rPr>
        <w:t>z</w:t>
      </w:r>
      <w:r>
        <w:rPr>
          <w:b w:val="false"/>
          <w:i w:val="false"/>
          <w:strike w:val="false"/>
          <w:dstrike w:val="false"/>
          <w:spacing w:val="0"/>
          <w:sz w:val="24"/>
          <w:szCs w:val="24"/>
          <w:u w:val="none"/>
        </w:rPr>
        <w:t xml:space="preserve">ed with bin lengths. C) Second-for-third extinction proportions based on second-for-third substitution of taxa categories. </w:t>
      </w:r>
    </w:p>
    <w:p>
      <w:pPr>
        <w:pStyle w:val="Normal"/>
        <w:bidi w:val="0"/>
        <w:jc w:val="left"/>
        <w:rPr>
          <w:lang w:val="en-US"/>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7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b w:val="false"/>
      <w:i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Verzeichnis">
    <w:name w:val="Verzeichnis"/>
    <w:basedOn w:val="Normal"/>
    <w:qFormat/>
    <w:pPr>
      <w:suppressLineNumbers/>
    </w:pPr>
    <w:rPr>
      <w:rFonts w:cs="Lohit Devanagari"/>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Caption1">
    <w:name w:val="caption"/>
    <w:basedOn w:val="Normal"/>
    <w:next w:val="Normal"/>
    <w:qFormat/>
    <w:pPr>
      <w:spacing w:lineRule="auto" w:line="240" w:before="0" w:after="200"/>
    </w:pPr>
    <w:rPr>
      <w:iCs/>
      <w:color w:val="000000" w:themeColor="text1"/>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LibreOffice/6.4.6.2$Linux_X86_64 LibreOffice_project/40$Build-2</Application>
  <Pages>14</Pages>
  <Words>1120</Words>
  <Characters>6068</Characters>
  <CharactersWithSpaces>6885</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2020-12-07T11:50:32Z</dcterms:created>
  <dc:creator>Gregor Mathes</dc:creator>
  <dc:description/>
  <dc:language>de-DE</dc:language>
  <cp:lastModifiedBy>Gregor Mathes</cp:lastModifiedBy>
  <dcterms:modified xsi:type="dcterms:W3CDTF">2021-03-05T18:48:49Z</dcterms:modified>
  <cp:revision>8</cp:revision>
  <dc:subject/>
  <dc:title/>
</cp:coreProperties>
</file>