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089A06F">
      <w:pPr>
        <w:spacing w:before="260" w:after="120" w:line="288" w:lineRule="auto"/>
        <w:ind w:left="0"/>
        <w:jc w:val="left"/>
        <w:outlineLvl w:val="3"/>
      </w:pPr>
      <w:bookmarkStart w:id="0" w:name="heading_104"/>
      <w:r>
        <w:rPr>
          <w:rFonts w:ascii="Arial" w:hAnsi="Arial" w:eastAsia="等线" w:cs="Arial"/>
          <w:b/>
          <w:sz w:val="28"/>
        </w:rPr>
        <w:t>一、IVF-ET体外授精与胚胎移植流程图</w:t>
      </w:r>
      <w:bookmarkEnd w:id="0"/>
    </w:p>
    <w:p w14:paraId="0354DB71">
      <w:pPr>
        <w:spacing w:before="120" w:after="120" w:line="288" w:lineRule="auto"/>
        <w:ind w:left="0"/>
        <w:jc w:val="center"/>
      </w:pPr>
      <w:r>
        <w:drawing>
          <wp:inline distT="0" distB="0" distL="0" distR="0">
            <wp:extent cx="5257800" cy="6924675"/>
            <wp:effectExtent l="0" t="0" r="0"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4"/>
                    <a:stretch>
                      <a:fillRect/>
                    </a:stretch>
                  </pic:blipFill>
                  <pic:spPr>
                    <a:xfrm>
                      <a:off x="0" y="0"/>
                      <a:ext cx="5257800" cy="6924675"/>
                    </a:xfrm>
                    <a:prstGeom prst="rect">
                      <a:avLst/>
                    </a:prstGeom>
                  </pic:spPr>
                </pic:pic>
              </a:graphicData>
            </a:graphic>
          </wp:inline>
        </w:drawing>
      </w:r>
    </w:p>
    <w:p w14:paraId="6C00DEFE">
      <w:pPr>
        <w:spacing w:before="120" w:after="120" w:line="288" w:lineRule="auto"/>
        <w:ind w:left="0"/>
        <w:jc w:val="left"/>
      </w:pPr>
      <w:r>
        <w:rPr>
          <w:rFonts w:ascii="Arial" w:hAnsi="Arial" w:eastAsia="等线" w:cs="Arial"/>
          <w:sz w:val="22"/>
        </w:rPr>
        <w:t xml:space="preserve">   </w:t>
      </w:r>
    </w:p>
    <w:p w14:paraId="3105A61D">
      <w:pPr>
        <w:spacing w:before="120" w:after="120" w:line="288" w:lineRule="auto"/>
        <w:ind w:left="0"/>
        <w:jc w:val="center"/>
      </w:pPr>
      <w:r>
        <w:drawing>
          <wp:inline distT="0" distB="0" distL="0" distR="0">
            <wp:extent cx="5257800" cy="18859500"/>
            <wp:effectExtent l="0" t="0" r="0" b="762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5"/>
                    <a:stretch>
                      <a:fillRect/>
                    </a:stretch>
                  </pic:blipFill>
                  <pic:spPr>
                    <a:xfrm>
                      <a:off x="0" y="0"/>
                      <a:ext cx="5257800" cy="18859500"/>
                    </a:xfrm>
                    <a:prstGeom prst="rect">
                      <a:avLst/>
                    </a:prstGeom>
                  </pic:spPr>
                </pic:pic>
              </a:graphicData>
            </a:graphic>
          </wp:inline>
        </w:drawing>
      </w:r>
    </w:p>
    <w:p w14:paraId="038D3C99">
      <w:pPr>
        <w:spacing w:before="120" w:after="120" w:line="288" w:lineRule="auto"/>
        <w:ind w:left="0"/>
        <w:jc w:val="center"/>
      </w:pPr>
      <w:r>
        <w:drawing>
          <wp:inline distT="0" distB="0" distL="0" distR="0">
            <wp:extent cx="5219700" cy="18726150"/>
            <wp:effectExtent l="0" t="0" r="7620" b="3810"/>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6"/>
                    <a:stretch>
                      <a:fillRect/>
                    </a:stretch>
                  </pic:blipFill>
                  <pic:spPr>
                    <a:xfrm>
                      <a:off x="0" y="0"/>
                      <a:ext cx="5219700" cy="18726150"/>
                    </a:xfrm>
                    <a:prstGeom prst="rect">
                      <a:avLst/>
                    </a:prstGeom>
                  </pic:spPr>
                </pic:pic>
              </a:graphicData>
            </a:graphic>
          </wp:inline>
        </w:drawing>
      </w:r>
    </w:p>
    <w:p w14:paraId="1E1A1AFC">
      <w:pPr>
        <w:spacing w:before="120" w:after="120" w:line="288" w:lineRule="auto"/>
        <w:ind w:left="0"/>
        <w:jc w:val="center"/>
      </w:pPr>
      <w:r>
        <w:drawing>
          <wp:inline distT="0" distB="0" distL="0" distR="0">
            <wp:extent cx="4991100" cy="17907000"/>
            <wp:effectExtent l="0" t="0" r="762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7"/>
                    <a:stretch>
                      <a:fillRect/>
                    </a:stretch>
                  </pic:blipFill>
                  <pic:spPr>
                    <a:xfrm>
                      <a:off x="0" y="0"/>
                      <a:ext cx="4991100" cy="17907000"/>
                    </a:xfrm>
                    <a:prstGeom prst="rect">
                      <a:avLst/>
                    </a:prstGeom>
                  </pic:spPr>
                </pic:pic>
              </a:graphicData>
            </a:graphic>
          </wp:inline>
        </w:drawing>
      </w:r>
    </w:p>
    <w:p w14:paraId="01A9E65D">
      <w:pPr>
        <w:spacing w:before="120" w:after="120" w:line="288" w:lineRule="auto"/>
        <w:ind w:left="0"/>
        <w:jc w:val="center"/>
      </w:pPr>
      <w:r>
        <w:drawing>
          <wp:inline distT="0" distB="0" distL="0" distR="0">
            <wp:extent cx="4914900" cy="17630775"/>
            <wp:effectExtent l="0" t="0" r="7620" b="190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8"/>
                    <a:stretch>
                      <a:fillRect/>
                    </a:stretch>
                  </pic:blipFill>
                  <pic:spPr>
                    <a:xfrm>
                      <a:off x="0" y="0"/>
                      <a:ext cx="4914900" cy="17630775"/>
                    </a:xfrm>
                    <a:prstGeom prst="rect">
                      <a:avLst/>
                    </a:prstGeom>
                  </pic:spPr>
                </pic:pic>
              </a:graphicData>
            </a:graphic>
          </wp:inline>
        </w:drawing>
      </w:r>
    </w:p>
    <w:p w14:paraId="035C0913">
      <w:pPr>
        <w:spacing w:before="120" w:after="120" w:line="288" w:lineRule="auto"/>
        <w:ind w:left="0"/>
        <w:jc w:val="center"/>
      </w:pPr>
      <w:r>
        <w:drawing>
          <wp:inline distT="0" distB="0" distL="0" distR="0">
            <wp:extent cx="4857750" cy="17421225"/>
            <wp:effectExtent l="0" t="0" r="3810" b="1333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9"/>
                    <a:stretch>
                      <a:fillRect/>
                    </a:stretch>
                  </pic:blipFill>
                  <pic:spPr>
                    <a:xfrm>
                      <a:off x="0" y="0"/>
                      <a:ext cx="4857750" cy="17421225"/>
                    </a:xfrm>
                    <a:prstGeom prst="rect">
                      <a:avLst/>
                    </a:prstGeom>
                  </pic:spPr>
                </pic:pic>
              </a:graphicData>
            </a:graphic>
          </wp:inline>
        </w:drawing>
      </w:r>
    </w:p>
    <w:p w14:paraId="42C85466">
      <w:pPr>
        <w:spacing w:before="120" w:after="120" w:line="288" w:lineRule="auto"/>
        <w:ind w:left="0"/>
        <w:jc w:val="center"/>
      </w:pPr>
      <w:r>
        <w:drawing>
          <wp:inline distT="0" distB="0" distL="0" distR="0">
            <wp:extent cx="4876800" cy="7829550"/>
            <wp:effectExtent l="0" t="0" r="0" b="381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0"/>
                    <a:stretch>
                      <a:fillRect/>
                    </a:stretch>
                  </pic:blipFill>
                  <pic:spPr>
                    <a:xfrm>
                      <a:off x="0" y="0"/>
                      <a:ext cx="4876800" cy="7829550"/>
                    </a:xfrm>
                    <a:prstGeom prst="rect">
                      <a:avLst/>
                    </a:prstGeom>
                  </pic:spPr>
                </pic:pic>
              </a:graphicData>
            </a:graphic>
          </wp:inline>
        </w:drawing>
      </w:r>
    </w:p>
    <w:p w14:paraId="7974EB17">
      <w:pPr>
        <w:spacing w:before="120" w:after="120" w:line="288" w:lineRule="auto"/>
        <w:ind w:left="0"/>
        <w:jc w:val="left"/>
      </w:pPr>
    </w:p>
    <w:p w14:paraId="2C22806E">
      <w:pPr>
        <w:spacing w:before="260" w:after="120" w:line="288" w:lineRule="auto"/>
        <w:ind w:left="0"/>
        <w:jc w:val="left"/>
        <w:outlineLvl w:val="3"/>
      </w:pPr>
      <w:bookmarkStart w:id="1" w:name="heading_105"/>
      <w:r>
        <w:rPr>
          <w:rFonts w:ascii="Arial" w:hAnsi="Arial" w:eastAsia="等线" w:cs="Arial"/>
          <w:b/>
          <w:sz w:val="28"/>
        </w:rPr>
        <w:t>二、术前检查</w:t>
      </w:r>
      <w:bookmarkEnd w:id="1"/>
    </w:p>
    <w:p w14:paraId="7395D633">
      <w:pPr>
        <w:spacing w:before="120" w:after="120" w:line="288" w:lineRule="auto"/>
        <w:ind w:left="0"/>
        <w:jc w:val="left"/>
      </w:pPr>
      <w:r>
        <w:rPr>
          <w:rFonts w:ascii="Arial" w:hAnsi="Arial" w:eastAsia="等线" w:cs="Arial"/>
          <w:sz w:val="22"/>
        </w:rPr>
        <w:t xml:space="preserve">     1、男方：精液常规及相关检查；精浆生化；乙、丙肝、梅毒、艾滋病；血常规、血型；支原体、衣原体、淋球</w:t>
      </w:r>
    </w:p>
    <w:p w14:paraId="083883EB">
      <w:pPr>
        <w:spacing w:before="120" w:after="120" w:line="288" w:lineRule="auto"/>
        <w:ind w:left="0"/>
        <w:jc w:val="left"/>
      </w:pPr>
      <w:r>
        <w:rPr>
          <w:rFonts w:ascii="Arial" w:hAnsi="Arial" w:eastAsia="等线" w:cs="Arial"/>
          <w:sz w:val="22"/>
        </w:rPr>
        <w:t xml:space="preserve">     菌；肝功能、肾功能、染色体；</w:t>
      </w:r>
    </w:p>
    <w:p w14:paraId="500A2D9A">
      <w:pPr>
        <w:spacing w:before="120" w:after="120" w:line="288" w:lineRule="auto"/>
        <w:ind w:left="0"/>
        <w:jc w:val="left"/>
      </w:pPr>
      <w:r>
        <w:rPr>
          <w:rFonts w:ascii="Arial" w:hAnsi="Arial" w:eastAsia="等线" w:cs="Arial"/>
          <w:sz w:val="22"/>
        </w:rPr>
        <w:t xml:space="preserve">    2、女方：D3内分泌；血常规、血型；血沉；TORCH;乙肝、丙肝、梅毒、艾滋病；支原体、衣原体、淋球菌；</w:t>
      </w:r>
    </w:p>
    <w:p w14:paraId="73266996">
      <w:pPr>
        <w:spacing w:before="120" w:after="120" w:line="288" w:lineRule="auto"/>
        <w:ind w:left="0"/>
        <w:jc w:val="left"/>
      </w:pPr>
      <w:r>
        <w:rPr>
          <w:rFonts w:ascii="Arial" w:hAnsi="Arial" w:eastAsia="等线" w:cs="Arial"/>
          <w:sz w:val="22"/>
        </w:rPr>
        <w:t xml:space="preserve">    肝功能、肾功能、凝血功能、尿常规；心电图；甲状腺功能；TCT;空腹血糖；染色体；AMH(抗苗勒氏管激素)；</w:t>
      </w:r>
    </w:p>
    <w:p w14:paraId="2DBB20D2">
      <w:pPr>
        <w:spacing w:before="120" w:after="120" w:line="288" w:lineRule="auto"/>
        <w:ind w:left="0"/>
        <w:jc w:val="left"/>
      </w:pPr>
      <w:r>
        <w:rPr>
          <w:rFonts w:ascii="Arial" w:hAnsi="Arial" w:eastAsia="等线" w:cs="Arial"/>
          <w:sz w:val="22"/>
        </w:rPr>
        <w:t xml:space="preserve">    胸片；肿瘤标志物；</w:t>
      </w:r>
    </w:p>
    <w:p w14:paraId="15A41F75">
      <w:pPr>
        <w:spacing w:before="120" w:after="120" w:line="288" w:lineRule="auto"/>
        <w:ind w:left="0"/>
        <w:jc w:val="left"/>
      </w:pPr>
    </w:p>
    <w:p w14:paraId="705CB343">
      <w:pPr>
        <w:spacing w:before="260" w:after="120" w:line="288" w:lineRule="auto"/>
        <w:ind w:left="0"/>
        <w:jc w:val="left"/>
        <w:outlineLvl w:val="3"/>
      </w:pPr>
      <w:bookmarkStart w:id="2" w:name="heading_106"/>
      <w:r>
        <w:rPr>
          <w:rFonts w:ascii="Arial" w:hAnsi="Arial" w:eastAsia="等线" w:cs="Arial"/>
          <w:b/>
          <w:sz w:val="28"/>
        </w:rPr>
        <w:t>三、生殖中心各项目适应症</w:t>
      </w:r>
      <w:bookmarkEnd w:id="2"/>
    </w:p>
    <w:p w14:paraId="0893832A">
      <w:pPr>
        <w:numPr>
          <w:ilvl w:val="0"/>
          <w:numId w:val="1"/>
        </w:numPr>
        <w:spacing w:before="120" w:after="120" w:line="288" w:lineRule="auto"/>
        <w:ind w:left="0"/>
        <w:jc w:val="left"/>
      </w:pPr>
      <w:r>
        <w:rPr>
          <w:rFonts w:ascii="Arial" w:hAnsi="Arial" w:eastAsia="等线" w:cs="Arial"/>
          <w:sz w:val="22"/>
        </w:rPr>
        <w:t>IVF-ET适应症：1)女方各种因素导致的配子运送障碍；2)排卵障碍；3)子宫内膜异位症；4)男方少、弱、畸精子症；5)免疫性不孕与不明原因不孕</w:t>
      </w:r>
    </w:p>
    <w:p w14:paraId="3454101A">
      <w:pPr>
        <w:numPr>
          <w:ilvl w:val="0"/>
          <w:numId w:val="2"/>
        </w:numPr>
        <w:spacing w:before="120" w:after="120" w:line="288" w:lineRule="auto"/>
        <w:ind w:left="0"/>
        <w:jc w:val="left"/>
      </w:pPr>
      <w:r>
        <w:rPr>
          <w:rFonts w:ascii="Arial" w:hAnsi="Arial" w:eastAsia="等线" w:cs="Arial"/>
          <w:sz w:val="22"/>
        </w:rPr>
        <w:t>AIH适应症：1)精液异常：轻度或重度少精，弱精，非严重畸精子症，液化异常；2)因宫颈粘液异常造成精子无法通过宫颈导致的不孕；3)因性功能障碍或生殖道畸形造成的性交障碍；4)排卵障碍、子宫内膜异位症经单纯药物处理仍不受孕；5)不明原因不孕；6)免疫性不孕。</w:t>
      </w:r>
    </w:p>
    <w:p w14:paraId="49FE0B48">
      <w:pPr>
        <w:numPr>
          <w:ilvl w:val="0"/>
          <w:numId w:val="3"/>
        </w:numPr>
        <w:spacing w:before="120" w:after="120" w:line="288" w:lineRule="auto"/>
        <w:ind w:left="0"/>
        <w:jc w:val="left"/>
      </w:pPr>
      <w:r>
        <w:rPr>
          <w:rFonts w:ascii="Arial" w:hAnsi="Arial" w:eastAsia="等线" w:cs="Arial"/>
          <w:sz w:val="22"/>
        </w:rPr>
        <w:t>赠卵一助孕技术适应症：1)丧失产生卵子的能力；2)女方是严重的遗传性疾病携带者或患者；3)具有明显的影响卵子数量和质量的因素。</w:t>
      </w:r>
    </w:p>
    <w:p w14:paraId="589E7C2A">
      <w:pPr>
        <w:numPr>
          <w:ilvl w:val="0"/>
          <w:numId w:val="4"/>
        </w:numPr>
        <w:spacing w:before="120" w:after="120" w:line="288" w:lineRule="auto"/>
        <w:ind w:left="0"/>
        <w:jc w:val="left"/>
      </w:pPr>
      <w:r>
        <w:rPr>
          <w:rFonts w:ascii="Arial" w:hAnsi="Arial" w:eastAsia="等线" w:cs="Arial"/>
          <w:sz w:val="22"/>
        </w:rPr>
        <w:t>ICSI适应症：1)严重的少、弱、畸形精子症；2)不可逆的梗阻性无精症；3)生精功能障碍（排出遗传缺陷疾病所致)；4)免疫性不育；5)体外受精失败；6)精子顶体异常；7)需行植入前胚胎遗传学检查者。</w:t>
      </w:r>
    </w:p>
    <w:p w14:paraId="655066F2">
      <w:pPr>
        <w:numPr>
          <w:ilvl w:val="0"/>
          <w:numId w:val="5"/>
        </w:numPr>
        <w:spacing w:before="120" w:after="120" w:line="288" w:lineRule="auto"/>
        <w:ind w:left="0"/>
        <w:jc w:val="left"/>
      </w:pPr>
      <w:r>
        <w:rPr>
          <w:rFonts w:ascii="Arial" w:hAnsi="Arial" w:eastAsia="等线" w:cs="Arial"/>
          <w:sz w:val="22"/>
        </w:rPr>
        <w:t>供精一助孕技术适应症：1)不可逆的无精子症、严重的少精子症、弱精子症和畸精子症； 2)输精管复通失败；3)男方患不能矫治的射精障碍；4)男方和（或）家族有不宜生育的严重遗传性疾病；5)母儿血型不合不能得到存活的新生儿：6)在辅助生殖技术中发现男方原因导致失败者。</w:t>
      </w:r>
    </w:p>
    <w:p w14:paraId="15BCEDD5">
      <w:pPr>
        <w:spacing w:before="120" w:after="120" w:line="288" w:lineRule="auto"/>
        <w:ind w:left="0"/>
        <w:jc w:val="left"/>
      </w:pPr>
    </w:p>
    <w:p w14:paraId="2CEFDF67">
      <w:pPr>
        <w:spacing w:before="260" w:after="120" w:line="288" w:lineRule="auto"/>
        <w:ind w:left="0"/>
        <w:jc w:val="left"/>
        <w:outlineLvl w:val="3"/>
      </w:pPr>
      <w:bookmarkStart w:id="3" w:name="heading_107"/>
      <w:r>
        <w:rPr>
          <w:rFonts w:ascii="Arial" w:hAnsi="Arial" w:eastAsia="等线" w:cs="Arial"/>
          <w:b/>
          <w:sz w:val="28"/>
        </w:rPr>
        <w:t>四、IVF常见的并发症</w:t>
      </w:r>
      <w:bookmarkEnd w:id="3"/>
    </w:p>
    <w:p w14:paraId="309602A5">
      <w:pPr>
        <w:numPr>
          <w:ilvl w:val="0"/>
          <w:numId w:val="6"/>
        </w:numPr>
        <w:spacing w:before="120" w:after="120" w:line="288" w:lineRule="auto"/>
        <w:ind w:left="0"/>
        <w:jc w:val="left"/>
      </w:pPr>
      <w:r>
        <w:rPr>
          <w:rFonts w:ascii="Arial" w:hAnsi="Arial" w:eastAsia="等线" w:cs="Arial"/>
          <w:sz w:val="22"/>
        </w:rPr>
        <w:t>卵巢过度刺激征：1)渐重的腹胀；2)严重的恶心与呕吐；3)气喘；4)小便量减少；5)严重的病例可发生血管内血栓的形成，肝或肾、心及呼吸功能的衰竭，极个别病例可以致命的。治疗措施：输白蛋白为主、放腹水。</w:t>
      </w:r>
    </w:p>
    <w:p w14:paraId="085A72A4">
      <w:pPr>
        <w:numPr>
          <w:ilvl w:val="0"/>
          <w:numId w:val="7"/>
        </w:numPr>
        <w:spacing w:before="120" w:after="120" w:line="288" w:lineRule="auto"/>
        <w:ind w:left="0"/>
        <w:jc w:val="left"/>
      </w:pPr>
      <w:r>
        <w:rPr>
          <w:rFonts w:ascii="Arial" w:hAnsi="Arial" w:eastAsia="等线" w:cs="Arial"/>
          <w:sz w:val="22"/>
        </w:rPr>
        <w:t>反应不良：少于4个卵泡发育，有可能取消本周期治疗</w:t>
      </w:r>
    </w:p>
    <w:p w14:paraId="6442369F">
      <w:pPr>
        <w:numPr>
          <w:ilvl w:val="0"/>
          <w:numId w:val="8"/>
        </w:numPr>
        <w:spacing w:before="120" w:after="120" w:line="288" w:lineRule="auto"/>
        <w:ind w:left="0"/>
        <w:jc w:val="left"/>
      </w:pPr>
      <w:r>
        <w:rPr>
          <w:rFonts w:ascii="Arial" w:hAnsi="Arial" w:eastAsia="等线" w:cs="Arial"/>
          <w:sz w:val="22"/>
        </w:rPr>
        <w:t>宫外孕</w:t>
      </w:r>
    </w:p>
    <w:p w14:paraId="03658304">
      <w:pPr>
        <w:numPr>
          <w:ilvl w:val="0"/>
          <w:numId w:val="9"/>
        </w:numPr>
        <w:spacing w:before="120" w:after="120" w:line="288" w:lineRule="auto"/>
        <w:ind w:left="0"/>
        <w:jc w:val="left"/>
      </w:pPr>
      <w:r>
        <w:rPr>
          <w:rFonts w:ascii="Arial" w:hAnsi="Arial" w:eastAsia="等线" w:cs="Arial"/>
          <w:sz w:val="22"/>
        </w:rPr>
        <w:t>穿刺后出血</w:t>
      </w:r>
    </w:p>
    <w:p w14:paraId="0E8B05A6">
      <w:pPr>
        <w:numPr>
          <w:ilvl w:val="0"/>
          <w:numId w:val="10"/>
        </w:numPr>
        <w:spacing w:before="120" w:after="120" w:line="288" w:lineRule="auto"/>
        <w:ind w:left="0"/>
        <w:jc w:val="left"/>
      </w:pPr>
      <w:r>
        <w:rPr>
          <w:rFonts w:ascii="Arial" w:hAnsi="Arial" w:eastAsia="等线" w:cs="Arial"/>
          <w:sz w:val="22"/>
        </w:rPr>
        <w:t>术后感染</w:t>
      </w:r>
    </w:p>
    <w:p w14:paraId="3BEAD9B4">
      <w:pPr>
        <w:numPr>
          <w:ilvl w:val="0"/>
          <w:numId w:val="11"/>
        </w:numPr>
        <w:spacing w:before="120" w:after="120" w:line="288" w:lineRule="auto"/>
        <w:ind w:left="0"/>
        <w:jc w:val="left"/>
      </w:pPr>
      <w:r>
        <w:rPr>
          <w:rFonts w:ascii="Arial" w:hAnsi="Arial" w:eastAsia="等线" w:cs="Arial"/>
          <w:sz w:val="22"/>
        </w:rPr>
        <w:t>多胎-需要在妊娠7周左右进行选择性减胎术</w:t>
      </w:r>
    </w:p>
    <w:p w14:paraId="330B6D4F">
      <w:pPr>
        <w:numPr>
          <w:ilvl w:val="0"/>
          <w:numId w:val="12"/>
        </w:numPr>
        <w:spacing w:before="120" w:after="120" w:line="288" w:lineRule="auto"/>
        <w:ind w:left="0"/>
        <w:jc w:val="left"/>
      </w:pPr>
      <w:r>
        <w:rPr>
          <w:rFonts w:ascii="Arial" w:hAnsi="Arial" w:eastAsia="等线" w:cs="Arial"/>
          <w:sz w:val="22"/>
        </w:rPr>
        <w:t>畸形率2-3/1000</w:t>
      </w:r>
    </w:p>
    <w:p w14:paraId="2C31122E">
      <w:pPr>
        <w:spacing w:before="120" w:after="120" w:line="288" w:lineRule="auto"/>
        <w:ind w:left="0"/>
        <w:jc w:val="left"/>
      </w:pPr>
    </w:p>
    <w:p w14:paraId="51BCF990">
      <w:pPr>
        <w:spacing w:before="260" w:after="120" w:line="288" w:lineRule="auto"/>
        <w:ind w:left="0"/>
        <w:jc w:val="left"/>
        <w:outlineLvl w:val="3"/>
      </w:pPr>
      <w:bookmarkStart w:id="4" w:name="heading_108"/>
      <w:r>
        <w:rPr>
          <w:rFonts w:ascii="Arial" w:hAnsi="Arial" w:eastAsia="等线" w:cs="Arial"/>
          <w:b/>
          <w:sz w:val="28"/>
        </w:rPr>
        <w:t>五、对月经周期调节机制</w:t>
      </w:r>
      <w:bookmarkEnd w:id="4"/>
    </w:p>
    <w:p w14:paraId="2D26725C">
      <w:pPr>
        <w:numPr>
          <w:ilvl w:val="0"/>
          <w:numId w:val="13"/>
        </w:numPr>
        <w:spacing w:before="120" w:after="120" w:line="288" w:lineRule="auto"/>
        <w:ind w:left="0"/>
        <w:jc w:val="left"/>
      </w:pPr>
      <w:r>
        <w:rPr>
          <w:rFonts w:ascii="Arial" w:hAnsi="Arial" w:eastAsia="等线" w:cs="Arial"/>
          <w:sz w:val="22"/>
        </w:rPr>
        <w:t>卵泡期：在前次月经周期的卵巢黄体萎缩后，雌孕激素水平降至最低，对于下丘脑及垂体的抑制解除，下丘脑又开始分泌GnRH,使垂体FSH分泌增加，促进卵泡逐渐发育，在少量LH的协同作用下，卵泡分泌雌激素在雌激素的作用下，子宫内膜发生增生期变化，随着雌激素逐渐增加，对于下丘脑的负反馈作用增强，抑制丘脑GnRH的分泌，使垂体FSH分泌减少。随着卵泡逐渐发育成熟。雌激素出现高峰，对于下丘脑产生正反馈作用，促使垂体释放大量LH,出现高峰，FSH同时亦形成一个较低的峰，大量LH与FSH协同作用，是成熟卵泡排卵。</w:t>
      </w:r>
    </w:p>
    <w:p w14:paraId="33995930">
      <w:pPr>
        <w:numPr>
          <w:ilvl w:val="0"/>
          <w:numId w:val="14"/>
        </w:numPr>
        <w:spacing w:before="120" w:after="120" w:line="288" w:lineRule="auto"/>
        <w:ind w:left="0"/>
        <w:jc w:val="left"/>
      </w:pPr>
      <w:r>
        <w:rPr>
          <w:rFonts w:ascii="Arial" w:hAnsi="Arial" w:eastAsia="等线" w:cs="Arial"/>
          <w:sz w:val="22"/>
        </w:rPr>
        <w:t>黄体期：排卵后，循环中LH和FSH均急速下降，在少量LH和FSH作用下，黄体形成并逐渐发育成熟。黄体主要分泌孕激素，使子宫内膜转变为分泌期。黄体也分泌雌激素，排卵后雌激素高峰即来自成熟黄体的分泌。由于大量孕激素和雌激素共同的负反馈作用，垂体分泌的LH和FSH相应减少，黄体开始萎缩，孕激素和雌激素的分泌也减少。子宫内膜失去性激素的支持，发生坏死脱落，从而月经来潮。孕激素、雌激素减少解除了对下丘脑、垂体的负反馈抑制，FSH和LH分泌增加，卵泡开始发育，下一个月经周期又重新开始，如此周而复始。</w:t>
      </w:r>
    </w:p>
    <w:p w14:paraId="496E6F75">
      <w:pPr>
        <w:spacing w:before="120" w:after="120" w:line="288" w:lineRule="auto"/>
        <w:ind w:left="0"/>
        <w:jc w:val="left"/>
      </w:pPr>
    </w:p>
    <w:p w14:paraId="7BCB95C3">
      <w:pPr>
        <w:spacing w:before="260" w:after="120" w:line="288" w:lineRule="auto"/>
        <w:ind w:left="0"/>
        <w:jc w:val="left"/>
        <w:outlineLvl w:val="3"/>
      </w:pPr>
      <w:bookmarkStart w:id="5" w:name="heading_109"/>
      <w:r>
        <w:rPr>
          <w:rFonts w:ascii="Arial" w:hAnsi="Arial" w:eastAsia="等线" w:cs="Arial"/>
          <w:b/>
          <w:sz w:val="28"/>
        </w:rPr>
        <w:t>六、内分泌六大信使</w:t>
      </w:r>
      <w:bookmarkEnd w:id="5"/>
    </w:p>
    <w:p w14:paraId="5C93F7F8">
      <w:pPr>
        <w:numPr>
          <w:ilvl w:val="0"/>
          <w:numId w:val="15"/>
        </w:numPr>
        <w:spacing w:before="120" w:after="120" w:line="288" w:lineRule="auto"/>
        <w:ind w:left="0"/>
        <w:jc w:val="left"/>
      </w:pPr>
      <w:r>
        <w:rPr>
          <w:rFonts w:ascii="Arial" w:hAnsi="Arial" w:eastAsia="等线" w:cs="Arial"/>
          <w:sz w:val="22"/>
        </w:rPr>
        <w:t>促性腺激素释放激素(GnRH)=作用于垂体，释放促性腺激素。</w:t>
      </w:r>
    </w:p>
    <w:p w14:paraId="73C29CA7">
      <w:pPr>
        <w:numPr>
          <w:ilvl w:val="0"/>
          <w:numId w:val="16"/>
        </w:numPr>
        <w:spacing w:before="120" w:after="120" w:line="288" w:lineRule="auto"/>
        <w:ind w:left="0"/>
        <w:jc w:val="left"/>
      </w:pPr>
      <w:r>
        <w:rPr>
          <w:rFonts w:ascii="Arial" w:hAnsi="Arial" w:eastAsia="等线" w:cs="Arial"/>
          <w:sz w:val="22"/>
        </w:rPr>
        <w:t>卵泡刺激素(FSH)=刺激卵泡/卵母细胞发育、成熟和雌二醇(E2)的生成。</w:t>
      </w:r>
    </w:p>
    <w:p w14:paraId="66F29F16">
      <w:pPr>
        <w:numPr>
          <w:ilvl w:val="0"/>
          <w:numId w:val="17"/>
        </w:numPr>
        <w:spacing w:before="120" w:after="120" w:line="288" w:lineRule="auto"/>
        <w:ind w:left="0"/>
        <w:jc w:val="left"/>
      </w:pPr>
      <w:r>
        <w:rPr>
          <w:rFonts w:ascii="Arial" w:hAnsi="Arial" w:eastAsia="等线" w:cs="Arial"/>
          <w:sz w:val="22"/>
        </w:rPr>
        <w:t>黄体生成素(LH)=刺激卵泡/卵母细胞发育、成熟、排卵、雄激素(T4)和孕早期孕酮(P4)的生成。</w:t>
      </w:r>
    </w:p>
    <w:p w14:paraId="3F003974">
      <w:pPr>
        <w:numPr>
          <w:ilvl w:val="0"/>
          <w:numId w:val="18"/>
        </w:numPr>
        <w:spacing w:before="120" w:after="120" w:line="288" w:lineRule="auto"/>
        <w:ind w:left="0"/>
        <w:jc w:val="left"/>
      </w:pPr>
      <w:r>
        <w:rPr>
          <w:rFonts w:ascii="Arial" w:hAnsi="Arial" w:eastAsia="等线" w:cs="Arial"/>
          <w:sz w:val="22"/>
        </w:rPr>
        <w:t>雌二醇(E2)=刺激内膜组织的生长、支持卵泡发育和调节FSH/LH分泌。</w:t>
      </w:r>
    </w:p>
    <w:p w14:paraId="7E125429">
      <w:pPr>
        <w:numPr>
          <w:ilvl w:val="0"/>
          <w:numId w:val="19"/>
        </w:numPr>
        <w:spacing w:before="120" w:after="120" w:line="288" w:lineRule="auto"/>
        <w:ind w:left="0"/>
        <w:jc w:val="left"/>
      </w:pPr>
      <w:r>
        <w:rPr>
          <w:rFonts w:ascii="Arial" w:hAnsi="Arial" w:eastAsia="等线" w:cs="Arial"/>
          <w:sz w:val="22"/>
        </w:rPr>
        <w:t>孕酮(P4)=刺激内膜分泌营养素，滋养年幼的胚胎。</w:t>
      </w:r>
    </w:p>
    <w:p w14:paraId="2978D340">
      <w:pPr>
        <w:numPr>
          <w:ilvl w:val="0"/>
          <w:numId w:val="20"/>
        </w:numPr>
        <w:spacing w:before="120" w:after="120" w:line="288" w:lineRule="auto"/>
        <w:ind w:left="0"/>
        <w:jc w:val="left"/>
      </w:pPr>
      <w:r>
        <w:rPr>
          <w:rFonts w:ascii="Arial" w:hAnsi="Arial" w:eastAsia="等线" w:cs="Arial"/>
          <w:sz w:val="22"/>
        </w:rPr>
        <w:t>人类绒毛膜促性腺激素(hCG)=刺激黄体生成孕酮，支持妊娠。</w:t>
      </w:r>
    </w:p>
    <w:p w14:paraId="20CF0722">
      <w:pPr>
        <w:spacing w:before="380" w:after="140" w:line="288" w:lineRule="auto"/>
        <w:ind w:left="0"/>
        <w:jc w:val="left"/>
        <w:outlineLvl w:val="0"/>
      </w:pPr>
      <w:bookmarkStart w:id="6" w:name="heading_110"/>
      <w:bookmarkEnd w:id="6"/>
    </w:p>
    <w:p w14:paraId="66D566E4">
      <w:pPr>
        <w:spacing w:before="260" w:after="120" w:line="288" w:lineRule="auto"/>
        <w:ind w:left="0"/>
        <w:jc w:val="left"/>
        <w:outlineLvl w:val="3"/>
      </w:pPr>
      <w:bookmarkStart w:id="7" w:name="heading_111"/>
      <w:r>
        <w:rPr>
          <w:rFonts w:ascii="Arial" w:hAnsi="Arial" w:eastAsia="等线" w:cs="Arial"/>
          <w:b/>
          <w:sz w:val="28"/>
        </w:rPr>
        <w:t>七、促性腺激素释放激素(GnRH)</w:t>
      </w:r>
      <w:bookmarkEnd w:id="7"/>
    </w:p>
    <w:p w14:paraId="4A3799E3">
      <w:pPr>
        <w:spacing w:before="120" w:after="120" w:line="288" w:lineRule="auto"/>
        <w:ind w:left="0"/>
        <w:jc w:val="left"/>
      </w:pPr>
      <w:r>
        <w:rPr>
          <w:rFonts w:ascii="Arial" w:hAnsi="Arial" w:eastAsia="等线" w:cs="Arial"/>
          <w:sz w:val="22"/>
        </w:rPr>
        <w:t>GnRH激动剂或GnRH拮抗剂可以使生殖激素的自然生成暂时降低，这个过程称为降调节。降调节可以更好的控制刺激周期，而且有助于预防早熟排卵。GnRH激动剂在用药初期对垂体有一个短促的激发作用。GnRH拮抗剂可立即产生抑制效应。FSH与卵泡颗粒细胞FSH受体结合刺激颗粒细胞增殖、分化，促进卵泡的生长。</w:t>
      </w:r>
    </w:p>
    <w:p w14:paraId="713CDD2B">
      <w:pPr>
        <w:spacing w:before="120" w:after="120" w:line="288" w:lineRule="auto"/>
        <w:ind w:left="0"/>
        <w:jc w:val="left"/>
      </w:pPr>
    </w:p>
    <w:p w14:paraId="0653AB67">
      <w:pPr>
        <w:spacing w:before="260" w:after="120" w:line="288" w:lineRule="auto"/>
        <w:ind w:left="0"/>
        <w:jc w:val="left"/>
        <w:outlineLvl w:val="3"/>
      </w:pPr>
      <w:bookmarkStart w:id="8" w:name="heading_112"/>
      <w:r>
        <w:rPr>
          <w:rFonts w:ascii="Arial" w:hAnsi="Arial" w:eastAsia="等线" w:cs="Arial"/>
          <w:b/>
          <w:sz w:val="28"/>
        </w:rPr>
        <w:t>八、FSH生物学作用</w:t>
      </w:r>
      <w:bookmarkEnd w:id="8"/>
    </w:p>
    <w:p w14:paraId="6042CB2E">
      <w:pPr>
        <w:spacing w:before="120" w:after="120" w:line="288" w:lineRule="auto"/>
        <w:ind w:left="0"/>
        <w:jc w:val="left"/>
      </w:pPr>
      <w:r>
        <w:rPr>
          <w:rFonts w:ascii="Arial" w:hAnsi="Arial" w:eastAsia="等线" w:cs="Arial"/>
          <w:sz w:val="22"/>
        </w:rPr>
        <w:t>FSH与卵泡颗粒细胞FSH受体结合，刺激颗粒细胞增殖、分化，促进卵泡的生长诱导卵泡结构和代谢的变化：雄酮转化成雌二醇和雌酮，诱导LH和泌乳素受体激活细胞内孕激素合成必需的酶系统。</w:t>
      </w:r>
    </w:p>
    <w:p w14:paraId="54CEF166">
      <w:pPr>
        <w:spacing w:before="120" w:after="120" w:line="288" w:lineRule="auto"/>
        <w:ind w:left="0"/>
        <w:jc w:val="left"/>
      </w:pPr>
    </w:p>
    <w:p w14:paraId="1802CD27">
      <w:pPr>
        <w:spacing w:before="260" w:after="120" w:line="288" w:lineRule="auto"/>
        <w:ind w:left="0"/>
        <w:jc w:val="left"/>
        <w:outlineLvl w:val="3"/>
      </w:pPr>
      <w:bookmarkStart w:id="9" w:name="heading_113"/>
      <w:r>
        <w:rPr>
          <w:rFonts w:ascii="Arial" w:hAnsi="Arial" w:eastAsia="等线" w:cs="Arial"/>
          <w:b/>
          <w:sz w:val="28"/>
        </w:rPr>
        <w:t>九、LH生物学作用</w:t>
      </w:r>
      <w:bookmarkEnd w:id="9"/>
    </w:p>
    <w:p w14:paraId="3391BB07">
      <w:pPr>
        <w:spacing w:before="120" w:after="120" w:line="288" w:lineRule="auto"/>
        <w:ind w:left="0"/>
        <w:jc w:val="left"/>
      </w:pPr>
      <w:r>
        <w:rPr>
          <w:rFonts w:ascii="Arial" w:hAnsi="Arial" w:eastAsia="等线" w:cs="Arial"/>
          <w:sz w:val="22"/>
        </w:rPr>
        <w:t>卵泡期：为E2的合成提供底物一雄烯二酮。</w:t>
      </w:r>
    </w:p>
    <w:p w14:paraId="14989F52">
      <w:pPr>
        <w:spacing w:before="120" w:after="120" w:line="288" w:lineRule="auto"/>
        <w:ind w:left="0"/>
        <w:jc w:val="left"/>
      </w:pPr>
      <w:r>
        <w:rPr>
          <w:rFonts w:ascii="Arial" w:hAnsi="Arial" w:eastAsia="等线" w:cs="Arial"/>
          <w:sz w:val="22"/>
        </w:rPr>
        <w:t>排卵前：血LH峰能促使卵母细胞最终成熟及排卵。</w:t>
      </w:r>
    </w:p>
    <w:p w14:paraId="306D9903">
      <w:pPr>
        <w:spacing w:before="120" w:after="120" w:line="288" w:lineRule="auto"/>
        <w:ind w:left="0"/>
        <w:jc w:val="left"/>
      </w:pPr>
      <w:r>
        <w:rPr>
          <w:rFonts w:ascii="Arial" w:hAnsi="Arial" w:eastAsia="等线" w:cs="Arial"/>
          <w:sz w:val="22"/>
        </w:rPr>
        <w:t>黄体期：低水平LH支持黄体的功能，促使P及E2的合成分泌。</w:t>
      </w:r>
    </w:p>
    <w:p w14:paraId="2C880E81">
      <w:pPr>
        <w:spacing w:before="120" w:after="120" w:line="288" w:lineRule="auto"/>
        <w:ind w:left="0"/>
        <w:jc w:val="left"/>
      </w:pPr>
    </w:p>
    <w:p w14:paraId="5F37F78F">
      <w:pPr>
        <w:spacing w:before="260" w:after="120" w:line="288" w:lineRule="auto"/>
        <w:ind w:left="0"/>
        <w:jc w:val="left"/>
        <w:outlineLvl w:val="3"/>
      </w:pPr>
      <w:bookmarkStart w:id="10" w:name="heading_114"/>
      <w:r>
        <w:rPr>
          <w:rFonts w:ascii="Arial" w:hAnsi="Arial" w:eastAsia="等线" w:cs="Arial"/>
          <w:b/>
          <w:sz w:val="28"/>
        </w:rPr>
        <w:t>十、雌激素（雌二醇）生物学作用</w:t>
      </w:r>
      <w:bookmarkEnd w:id="10"/>
    </w:p>
    <w:p w14:paraId="2F5DDA2D">
      <w:pPr>
        <w:numPr>
          <w:ilvl w:val="0"/>
          <w:numId w:val="21"/>
        </w:numPr>
        <w:spacing w:before="120" w:after="120" w:line="288" w:lineRule="auto"/>
        <w:ind w:left="0"/>
        <w:jc w:val="left"/>
      </w:pPr>
      <w:r>
        <w:rPr>
          <w:rFonts w:ascii="Arial" w:hAnsi="Arial" w:eastAsia="等线" w:cs="Arial"/>
          <w:sz w:val="22"/>
        </w:rPr>
        <w:t>刺激女性外生殖器、阴道、子宫等附性器官的发育、成熟，并可促使阴道上皮细胞分化和角质化，增加上皮细胞内的糖原及糖原分解，保持阴道酸性环境，以提高其抗菌能力。</w:t>
      </w:r>
    </w:p>
    <w:p w14:paraId="2CF9E7D5">
      <w:pPr>
        <w:numPr>
          <w:ilvl w:val="0"/>
          <w:numId w:val="22"/>
        </w:numPr>
        <w:spacing w:before="120" w:after="120" w:line="288" w:lineRule="auto"/>
        <w:ind w:left="0"/>
        <w:jc w:val="left"/>
      </w:pPr>
      <w:r>
        <w:rPr>
          <w:rFonts w:ascii="Arial" w:hAnsi="Arial" w:eastAsia="等线" w:cs="Arial"/>
          <w:sz w:val="22"/>
        </w:rPr>
        <w:t>增强输卵管与子宫平滑肌收缩。</w:t>
      </w:r>
    </w:p>
    <w:p w14:paraId="52FA341A">
      <w:pPr>
        <w:numPr>
          <w:ilvl w:val="0"/>
          <w:numId w:val="23"/>
        </w:numPr>
        <w:spacing w:before="120" w:after="120" w:line="288" w:lineRule="auto"/>
        <w:ind w:left="0"/>
        <w:jc w:val="left"/>
      </w:pPr>
      <w:r>
        <w:rPr>
          <w:rFonts w:ascii="Arial" w:hAnsi="Arial" w:eastAsia="等线" w:cs="Arial"/>
          <w:sz w:val="22"/>
        </w:rPr>
        <w:t>与孕激素配合，保持正常月经周期。</w:t>
      </w:r>
    </w:p>
    <w:p w14:paraId="1EEA27C4">
      <w:pPr>
        <w:numPr>
          <w:ilvl w:val="0"/>
          <w:numId w:val="24"/>
        </w:numPr>
        <w:spacing w:before="120" w:after="120" w:line="288" w:lineRule="auto"/>
        <w:ind w:left="0"/>
        <w:jc w:val="left"/>
      </w:pPr>
      <w:r>
        <w:rPr>
          <w:rFonts w:ascii="Arial" w:hAnsi="Arial" w:eastAsia="等线" w:cs="Arial"/>
          <w:sz w:val="22"/>
        </w:rPr>
        <w:t>刺激并维持女性第二性征，如：使脂肪和毛发分布具女性特征，乳腺发达、产生乳晕、骨盆宽大等。</w:t>
      </w:r>
    </w:p>
    <w:p w14:paraId="16EFAEA5">
      <w:pPr>
        <w:numPr>
          <w:ilvl w:val="0"/>
          <w:numId w:val="25"/>
        </w:numPr>
        <w:spacing w:before="120" w:after="120" w:line="288" w:lineRule="auto"/>
        <w:ind w:left="0"/>
        <w:jc w:val="left"/>
      </w:pPr>
      <w:r>
        <w:rPr>
          <w:rFonts w:ascii="Arial" w:hAnsi="Arial" w:eastAsia="等线" w:cs="Arial"/>
          <w:sz w:val="22"/>
        </w:rPr>
        <w:t>具有保水保钠作用，使细胞外液增多，并可促进肌肉蛋白质的合成，加强钙盐沉着等。</w:t>
      </w:r>
    </w:p>
    <w:p w14:paraId="638850E9">
      <w:pPr>
        <w:spacing w:before="120" w:after="120" w:line="288" w:lineRule="auto"/>
        <w:ind w:left="0"/>
        <w:jc w:val="left"/>
      </w:pPr>
    </w:p>
    <w:p w14:paraId="3AAED6FF">
      <w:pPr>
        <w:spacing w:before="260" w:after="120" w:line="288" w:lineRule="auto"/>
        <w:ind w:left="0"/>
        <w:jc w:val="left"/>
        <w:outlineLvl w:val="3"/>
      </w:pPr>
      <w:bookmarkStart w:id="11" w:name="heading_115"/>
      <w:r>
        <w:rPr>
          <w:rFonts w:ascii="Arial" w:hAnsi="Arial" w:eastAsia="等线" w:cs="Arial"/>
          <w:b/>
          <w:sz w:val="28"/>
        </w:rPr>
        <w:t>十一、孕激素生物学作用</w:t>
      </w:r>
      <w:bookmarkEnd w:id="11"/>
    </w:p>
    <w:p w14:paraId="5B983210">
      <w:pPr>
        <w:spacing w:before="120" w:after="120" w:line="288" w:lineRule="auto"/>
        <w:ind w:left="0"/>
        <w:jc w:val="left"/>
      </w:pPr>
      <w:r>
        <w:rPr>
          <w:rFonts w:ascii="Arial" w:hAnsi="Arial" w:eastAsia="等线" w:cs="Arial"/>
          <w:sz w:val="22"/>
        </w:rPr>
        <w:t>孕激素主要包括黄体酮、异炔诺酮、甲炔诺酮、已酸孕酮等。</w:t>
      </w:r>
    </w:p>
    <w:p w14:paraId="52E4037D">
      <w:pPr>
        <w:numPr>
          <w:ilvl w:val="0"/>
          <w:numId w:val="26"/>
        </w:numPr>
        <w:spacing w:before="120" w:after="120" w:line="288" w:lineRule="auto"/>
        <w:ind w:left="0"/>
        <w:jc w:val="left"/>
      </w:pPr>
      <w:r>
        <w:rPr>
          <w:rFonts w:ascii="Arial" w:hAnsi="Arial" w:eastAsia="等线" w:cs="Arial"/>
          <w:sz w:val="22"/>
        </w:rPr>
        <w:t>抑制排卵，促使子宫内膜分泌，以利受精卵植入，并降低子宫肌肉兴奋度，保证妊娠的安全进行。</w:t>
      </w:r>
    </w:p>
    <w:p w14:paraId="1BAA5AA8">
      <w:pPr>
        <w:numPr>
          <w:ilvl w:val="0"/>
          <w:numId w:val="27"/>
        </w:numPr>
        <w:spacing w:before="120" w:after="120" w:line="288" w:lineRule="auto"/>
        <w:ind w:left="0"/>
        <w:jc w:val="left"/>
      </w:pPr>
      <w:r>
        <w:rPr>
          <w:rFonts w:ascii="Arial" w:hAnsi="Arial" w:eastAsia="等线" w:cs="Arial"/>
          <w:sz w:val="22"/>
        </w:rPr>
        <w:t>促进乳腺腺泡的生长，为泌乳作准备。</w:t>
      </w:r>
    </w:p>
    <w:p w14:paraId="5A93FCE5">
      <w:pPr>
        <w:numPr>
          <w:ilvl w:val="0"/>
          <w:numId w:val="28"/>
        </w:numPr>
        <w:spacing w:before="120" w:after="120" w:line="288" w:lineRule="auto"/>
        <w:ind w:left="0"/>
        <w:jc w:val="left"/>
      </w:pPr>
      <w:r>
        <w:rPr>
          <w:rFonts w:ascii="Arial" w:hAnsi="Arial" w:eastAsia="等线" w:cs="Arial"/>
          <w:sz w:val="22"/>
        </w:rPr>
        <w:t>提高体温并使血管和消化道平滑肌松弛。</w:t>
      </w:r>
    </w:p>
    <w:p w14:paraId="7C2A1CC7">
      <w:pPr>
        <w:numPr>
          <w:ilvl w:val="0"/>
          <w:numId w:val="29"/>
        </w:numPr>
        <w:spacing w:before="120" w:after="120" w:line="288" w:lineRule="auto"/>
        <w:ind w:left="0"/>
        <w:jc w:val="left"/>
      </w:pPr>
      <w:r>
        <w:rPr>
          <w:rFonts w:ascii="Arial" w:hAnsi="Arial" w:eastAsia="等线" w:cs="Arial"/>
          <w:sz w:val="22"/>
        </w:rPr>
        <w:t>由于孕激素是雄激素、雌激素、肾上腺皮质激素等生物合成的重要中间体，因此不同程度上具有上述各类激素的作用。人工合成的某些雌激素和孕激素及其类似物在临床上主要用于不孕症、先兆流产及习惯性流产、子宫内膜异位、功能性子宫出血、闭经、更年期综合征、骨质疏松等，并可用于子宫内膜癌和前列腺癌及癌症化疗时升高白细胞。</w:t>
      </w:r>
    </w:p>
    <w:p w14:paraId="04C56F59">
      <w:pPr>
        <w:spacing w:before="120" w:after="120" w:line="288" w:lineRule="auto"/>
        <w:ind w:left="0"/>
        <w:jc w:val="left"/>
      </w:pPr>
    </w:p>
    <w:p w14:paraId="3A8703C2">
      <w:pPr>
        <w:spacing w:before="260" w:after="120" w:line="288" w:lineRule="auto"/>
        <w:ind w:left="0"/>
        <w:jc w:val="left"/>
        <w:outlineLvl w:val="3"/>
      </w:pPr>
      <w:bookmarkStart w:id="12" w:name="heading_116"/>
      <w:r>
        <w:rPr>
          <w:rFonts w:ascii="Arial" w:hAnsi="Arial" w:eastAsia="等线" w:cs="Arial"/>
          <w:b/>
          <w:sz w:val="28"/>
        </w:rPr>
        <w:t>十二、HCG的生物学作用</w:t>
      </w:r>
      <w:bookmarkEnd w:id="12"/>
    </w:p>
    <w:p w14:paraId="7BA34015">
      <w:pPr>
        <w:spacing w:before="120" w:after="120" w:line="288" w:lineRule="auto"/>
        <w:ind w:left="0"/>
        <w:jc w:val="left"/>
      </w:pPr>
      <w:r>
        <w:rPr>
          <w:rFonts w:ascii="Arial" w:hAnsi="Arial" w:eastAsia="等线" w:cs="Arial"/>
          <w:sz w:val="22"/>
        </w:rPr>
        <w:t xml:space="preserve"> 在LH分泌减少后维持黄体功能。支持雌激素、孕激素的进一步分泌，作用于子宫内膜，防止月经的发生。</w:t>
      </w:r>
    </w:p>
    <w:p w14:paraId="021ECC70">
      <w:pPr>
        <w:spacing w:before="120" w:after="120" w:line="288" w:lineRule="auto"/>
        <w:ind w:left="0"/>
        <w:jc w:val="left"/>
      </w:pPr>
    </w:p>
    <w:p w14:paraId="35CD59ED">
      <w:pPr>
        <w:spacing w:before="260" w:after="120" w:line="288" w:lineRule="auto"/>
        <w:ind w:left="0"/>
        <w:jc w:val="left"/>
        <w:outlineLvl w:val="3"/>
      </w:pPr>
      <w:bookmarkStart w:id="13" w:name="heading_117"/>
      <w:r>
        <w:rPr>
          <w:rFonts w:ascii="Arial" w:hAnsi="Arial" w:eastAsia="等线" w:cs="Arial"/>
          <w:b/>
          <w:sz w:val="28"/>
        </w:rPr>
        <w:t>十三、与内分泌有关的疾病</w:t>
      </w:r>
      <w:bookmarkEnd w:id="13"/>
    </w:p>
    <w:p w14:paraId="34A69760">
      <w:pPr>
        <w:numPr>
          <w:ilvl w:val="0"/>
          <w:numId w:val="30"/>
        </w:numPr>
        <w:spacing w:before="120" w:after="120" w:line="288" w:lineRule="auto"/>
        <w:ind w:left="0"/>
        <w:jc w:val="left"/>
      </w:pPr>
      <w:r>
        <w:rPr>
          <w:rFonts w:ascii="Arial" w:hAnsi="Arial" w:eastAsia="等线" w:cs="Arial"/>
          <w:sz w:val="22"/>
        </w:rPr>
        <w:t>月经与功血：子宫周期性出血称月经，为正常出血。功能失调性子宫出血为异常出血，简称功血。是指由调节生殖的神经内分泌机制失常引起的子宫异常出血。</w:t>
      </w:r>
    </w:p>
    <w:p w14:paraId="39458C70">
      <w:pPr>
        <w:spacing w:before="120" w:after="120" w:line="288" w:lineRule="auto"/>
        <w:ind w:left="0"/>
        <w:jc w:val="left"/>
      </w:pPr>
      <w:r>
        <w:rPr>
          <w:rFonts w:ascii="Arial" w:hAnsi="Arial" w:eastAsia="等线" w:cs="Arial"/>
          <w:sz w:val="22"/>
        </w:rPr>
        <w:t xml:space="preserve">     功能失调性子宫出血（功血）：分为无排卵性功血(85%)和排卵性功血(15%)。</w:t>
      </w:r>
    </w:p>
    <w:p w14:paraId="5975699E">
      <w:pPr>
        <w:spacing w:before="120" w:after="120" w:line="288" w:lineRule="auto"/>
        <w:ind w:left="0"/>
        <w:jc w:val="left"/>
      </w:pPr>
      <w:r>
        <w:rPr>
          <w:rFonts w:ascii="Arial" w:hAnsi="Arial" w:eastAsia="等线" w:cs="Arial"/>
          <w:sz w:val="22"/>
        </w:rPr>
        <w:t xml:space="preserve">     临床表现：最常见症状子宫不规则出血，特点是月经周期紊乱，经期长短不一，经量不定，甚至大量出血。</w:t>
      </w:r>
    </w:p>
    <w:p w14:paraId="0DC3E3B6">
      <w:pPr>
        <w:numPr>
          <w:ilvl w:val="0"/>
          <w:numId w:val="31"/>
        </w:numPr>
        <w:spacing w:before="120" w:after="120" w:line="288" w:lineRule="auto"/>
        <w:ind w:left="0"/>
        <w:jc w:val="left"/>
      </w:pPr>
      <w:r>
        <w:rPr>
          <w:rFonts w:ascii="Arial" w:hAnsi="Arial" w:eastAsia="等线" w:cs="Arial"/>
          <w:sz w:val="22"/>
        </w:rPr>
        <w:t>排卵性功血：黄体功能不足。有排卵，但黄体孕激素分泌不足或黄体过早衰退，子宫内膜分泌不良。表现月经周期短，月经频发，不易受孕或早流。</w:t>
      </w:r>
    </w:p>
    <w:p w14:paraId="6B73638B">
      <w:pPr>
        <w:spacing w:before="120" w:after="120" w:line="288" w:lineRule="auto"/>
        <w:ind w:left="0"/>
        <w:jc w:val="left"/>
      </w:pPr>
      <w:r>
        <w:rPr>
          <w:rFonts w:ascii="Arial" w:hAnsi="Arial" w:eastAsia="等线" w:cs="Arial"/>
          <w:sz w:val="22"/>
        </w:rPr>
        <w:t xml:space="preserve">     诊断：排除生殖系统器质性病变。基础体温双相型，但高相期少于11天（正常12-14天）。</w:t>
      </w:r>
    </w:p>
    <w:p w14:paraId="2E755074">
      <w:pPr>
        <w:spacing w:before="120" w:after="120" w:line="288" w:lineRule="auto"/>
        <w:ind w:left="0"/>
        <w:jc w:val="left"/>
      </w:pPr>
      <w:r>
        <w:rPr>
          <w:rFonts w:ascii="Arial" w:hAnsi="Arial" w:eastAsia="等线" w:cs="Arial"/>
          <w:sz w:val="22"/>
        </w:rPr>
        <w:t xml:space="preserve">     子宫内膜不规则脱落。有排卵，黄体发育良好但萎缩过程延长，致子宫内膜不规则脱落。表现月经周期正常，但经期延长且血量多。</w:t>
      </w:r>
    </w:p>
    <w:p w14:paraId="04AD7E1F">
      <w:pPr>
        <w:spacing w:before="120" w:after="120" w:line="288" w:lineRule="auto"/>
        <w:ind w:left="0"/>
        <w:jc w:val="left"/>
      </w:pPr>
      <w:r>
        <w:rPr>
          <w:rFonts w:ascii="Arial" w:hAnsi="Arial" w:eastAsia="等线" w:cs="Arial"/>
          <w:sz w:val="22"/>
        </w:rPr>
        <w:t xml:space="preserve">      诊断：经期延长，基础体温双相型，但下降缓慢。在月经第5-6天，诊断性刮宫可见分泌期内膜。三期并存。</w:t>
      </w:r>
    </w:p>
    <w:p w14:paraId="4615220C">
      <w:pPr>
        <w:numPr>
          <w:ilvl w:val="0"/>
          <w:numId w:val="32"/>
        </w:numPr>
        <w:spacing w:before="120" w:after="120" w:line="288" w:lineRule="auto"/>
        <w:ind w:left="0"/>
        <w:jc w:val="left"/>
      </w:pPr>
      <w:r>
        <w:rPr>
          <w:rFonts w:ascii="Arial" w:hAnsi="Arial" w:eastAsia="等线" w:cs="Arial"/>
          <w:sz w:val="22"/>
        </w:rPr>
        <w:t>多囊卵巢综合征(PCOS):临床发病率5%-10%，而在无排卵性不孕妇女中的发病率高达30%-60%；约50%的PCOS患者超重或肥胖；</w:t>
      </w:r>
    </w:p>
    <w:p w14:paraId="339BA641">
      <w:pPr>
        <w:numPr>
          <w:ilvl w:val="0"/>
          <w:numId w:val="33"/>
        </w:numPr>
        <w:spacing w:before="120" w:after="120" w:line="288" w:lineRule="auto"/>
        <w:ind w:left="0"/>
        <w:jc w:val="left"/>
      </w:pPr>
      <w:r>
        <w:rPr>
          <w:rFonts w:ascii="Arial" w:hAnsi="Arial" w:eastAsia="等线" w:cs="Arial"/>
          <w:sz w:val="22"/>
        </w:rPr>
        <w:t>临床表现呈异质性：发病呈家族聚集现象，提示与遗传因素有关，是一种多基因疾病；环境因素如农药、洗涤剂、吸烟等与本病发生有关；新生儿出生状况及青春期发育状况与本病发生有密切关系；PCOS发生代谢和心血管疾病的风险是正常人群的20倍，为代谢综合征的前期病变；PCOS患者由于长期无排卵，极易发生雌激素依赖性肿瘤，如子宫内膜癌和乳腺癌；</w:t>
      </w:r>
    </w:p>
    <w:p w14:paraId="646FD944">
      <w:pPr>
        <w:numPr>
          <w:ilvl w:val="0"/>
          <w:numId w:val="34"/>
        </w:numPr>
        <w:spacing w:before="120" w:after="120" w:line="288" w:lineRule="auto"/>
        <w:ind w:left="0"/>
        <w:jc w:val="left"/>
      </w:pPr>
      <w:r>
        <w:rPr>
          <w:rFonts w:ascii="Arial" w:hAnsi="Arial" w:eastAsia="等线" w:cs="Arial"/>
          <w:sz w:val="22"/>
        </w:rPr>
        <w:t>PCOS临床特征</w:t>
      </w:r>
    </w:p>
    <w:p w14:paraId="3A2AC45B">
      <w:pPr>
        <w:spacing w:before="120" w:after="120" w:line="288" w:lineRule="auto"/>
        <w:ind w:left="0"/>
        <w:jc w:val="left"/>
      </w:pPr>
      <w:r>
        <w:rPr>
          <w:rFonts w:ascii="Arial" w:hAnsi="Arial" w:eastAsia="等线" w:cs="Arial"/>
          <w:sz w:val="22"/>
        </w:rPr>
        <w:t xml:space="preserve">       临床特征：①月经不调；②多毛；③痤疮；④肥胖；⑤不排卵</w:t>
      </w:r>
    </w:p>
    <w:p w14:paraId="2E54A15C">
      <w:pPr>
        <w:spacing w:before="120" w:after="120" w:line="288" w:lineRule="auto"/>
        <w:ind w:left="0"/>
        <w:jc w:val="left"/>
      </w:pPr>
      <w:r>
        <w:rPr>
          <w:rFonts w:ascii="Arial" w:hAnsi="Arial" w:eastAsia="等线" w:cs="Arial"/>
          <w:sz w:val="22"/>
        </w:rPr>
        <w:t xml:space="preserve">       多囊卵巢：卵泡数量多；卵巢间质增厚；卵巢体积增大</w:t>
      </w:r>
    </w:p>
    <w:p w14:paraId="088740E1">
      <w:pPr>
        <w:spacing w:before="120" w:after="120" w:line="288" w:lineRule="auto"/>
        <w:ind w:left="0"/>
        <w:jc w:val="left"/>
      </w:pPr>
      <w:r>
        <w:rPr>
          <w:rFonts w:ascii="Arial" w:hAnsi="Arial" w:eastAsia="等线" w:cs="Arial"/>
          <w:sz w:val="22"/>
        </w:rPr>
        <w:t xml:space="preserve">       内分泌特征：高雄激素；高LH;胰岛素抵抗；高胰岛素血症；糖代谢异常；脂代谢异常；</w:t>
      </w:r>
    </w:p>
    <w:p w14:paraId="3AB456B9">
      <w:pPr>
        <w:numPr>
          <w:ilvl w:val="0"/>
          <w:numId w:val="35"/>
        </w:numPr>
        <w:spacing w:before="120" w:after="120" w:line="288" w:lineRule="auto"/>
        <w:ind w:left="0"/>
        <w:jc w:val="left"/>
      </w:pPr>
      <w:r>
        <w:rPr>
          <w:rFonts w:ascii="Arial" w:hAnsi="Arial" w:eastAsia="等线" w:cs="Arial"/>
          <w:sz w:val="22"/>
        </w:rPr>
        <w:t>PCOS诊断标准</w:t>
      </w:r>
    </w:p>
    <w:p w14:paraId="6F186191">
      <w:pPr>
        <w:spacing w:before="120" w:after="120" w:line="288" w:lineRule="auto"/>
        <w:ind w:left="0"/>
        <w:jc w:val="left"/>
      </w:pPr>
      <w:r>
        <w:rPr>
          <w:rFonts w:ascii="Arial" w:hAnsi="Arial" w:eastAsia="等线" w:cs="Arial"/>
          <w:sz w:val="22"/>
        </w:rPr>
        <w:t>①稀发排卵或无排卵</w:t>
      </w:r>
    </w:p>
    <w:p w14:paraId="53C35C79">
      <w:pPr>
        <w:spacing w:before="120" w:after="120" w:line="288" w:lineRule="auto"/>
        <w:ind w:left="0"/>
        <w:jc w:val="left"/>
      </w:pPr>
      <w:r>
        <w:rPr>
          <w:rFonts w:ascii="Arial" w:hAnsi="Arial" w:eastAsia="等线" w:cs="Arial"/>
          <w:sz w:val="22"/>
        </w:rPr>
        <w:t>②高雄激素的临床和/或生物化学征象</w:t>
      </w:r>
    </w:p>
    <w:p w14:paraId="6E453B4F">
      <w:pPr>
        <w:spacing w:before="120" w:after="120" w:line="288" w:lineRule="auto"/>
        <w:ind w:left="0"/>
        <w:jc w:val="left"/>
      </w:pPr>
      <w:r>
        <w:rPr>
          <w:rFonts w:ascii="Arial" w:hAnsi="Arial" w:eastAsia="等线" w:cs="Arial"/>
          <w:sz w:val="22"/>
        </w:rPr>
        <w:t>③超声提示卵巢体积≥10ml,和/或同一个切面上直径2-9mm的卵泡数≥12个</w:t>
      </w:r>
    </w:p>
    <w:p w14:paraId="4B390BA2">
      <w:pPr>
        <w:spacing w:before="120" w:after="120" w:line="288" w:lineRule="auto"/>
        <w:ind w:left="0"/>
        <w:jc w:val="left"/>
      </w:pPr>
      <w:r>
        <w:rPr>
          <w:rFonts w:ascii="Arial" w:hAnsi="Arial" w:eastAsia="等线" w:cs="Arial"/>
          <w:sz w:val="22"/>
        </w:rPr>
        <w:t>以上三项中具备二项即可诊断，排除其它高雄疾病如先天性肾上腺皮质增生、柯兴氏综合征、分泌雄激素的肿瘤等)</w:t>
      </w:r>
    </w:p>
    <w:p w14:paraId="60D9E5A1">
      <w:pPr>
        <w:spacing w:before="120" w:after="120" w:line="288" w:lineRule="auto"/>
        <w:ind w:left="0"/>
        <w:jc w:val="left"/>
      </w:pPr>
    </w:p>
    <w:p w14:paraId="4C75EC67">
      <w:pPr>
        <w:spacing w:before="260" w:after="120" w:line="288" w:lineRule="auto"/>
        <w:ind w:left="0"/>
        <w:jc w:val="left"/>
        <w:outlineLvl w:val="3"/>
      </w:pPr>
      <w:bookmarkStart w:id="14" w:name="heading_118"/>
      <w:r>
        <w:rPr>
          <w:rFonts w:ascii="Arial" w:hAnsi="Arial" w:eastAsia="等线" w:cs="Arial"/>
          <w:b/>
          <w:sz w:val="28"/>
        </w:rPr>
        <w:t>十四、高泌乳素血症</w:t>
      </w:r>
      <w:bookmarkEnd w:id="14"/>
    </w:p>
    <w:p w14:paraId="1AC84209">
      <w:pPr>
        <w:spacing w:before="120" w:after="120" w:line="288" w:lineRule="auto"/>
        <w:ind w:left="0"/>
        <w:jc w:val="left"/>
      </w:pPr>
      <w:r>
        <w:rPr>
          <w:rFonts w:ascii="Arial" w:hAnsi="Arial" w:eastAsia="等线" w:cs="Arial"/>
          <w:sz w:val="22"/>
        </w:rPr>
        <w:t>常见病因：垂体疾病</w:t>
      </w:r>
    </w:p>
    <w:p w14:paraId="6C5C3D76">
      <w:pPr>
        <w:spacing w:before="120" w:after="120" w:line="288" w:lineRule="auto"/>
        <w:ind w:left="0"/>
        <w:jc w:val="left"/>
      </w:pPr>
      <w:r>
        <w:rPr>
          <w:rFonts w:ascii="Arial" w:hAnsi="Arial" w:eastAsia="等线" w:cs="Arial"/>
          <w:sz w:val="22"/>
        </w:rPr>
        <w:t>诊断：</w:t>
      </w:r>
    </w:p>
    <w:p w14:paraId="7F1686C2">
      <w:pPr>
        <w:spacing w:before="120" w:after="120" w:line="288" w:lineRule="auto"/>
        <w:ind w:left="0"/>
        <w:jc w:val="left"/>
      </w:pPr>
      <w:r>
        <w:rPr>
          <w:rFonts w:ascii="Arial" w:hAnsi="Arial" w:eastAsia="等线" w:cs="Arial"/>
          <w:sz w:val="22"/>
        </w:rPr>
        <w:t>治疗：药物治疗，手术治疗，放射治疗</w:t>
      </w:r>
    </w:p>
    <w:p w14:paraId="73F6D49C">
      <w:pPr>
        <w:spacing w:before="120" w:after="120" w:line="288" w:lineRule="auto"/>
        <w:ind w:left="0"/>
        <w:jc w:val="left"/>
      </w:pPr>
    </w:p>
    <w:p w14:paraId="7C52E358">
      <w:pPr>
        <w:spacing w:before="260" w:after="120" w:line="288" w:lineRule="auto"/>
        <w:ind w:left="0"/>
        <w:jc w:val="left"/>
        <w:outlineLvl w:val="3"/>
      </w:pPr>
      <w:bookmarkStart w:id="15" w:name="heading_119"/>
      <w:r>
        <w:rPr>
          <w:rFonts w:ascii="Arial" w:hAnsi="Arial" w:eastAsia="等线" w:cs="Arial"/>
          <w:b/>
          <w:sz w:val="28"/>
        </w:rPr>
        <w:t>十五、更年期综合征</w:t>
      </w:r>
      <w:bookmarkEnd w:id="15"/>
    </w:p>
    <w:p w14:paraId="0D109615">
      <w:pPr>
        <w:spacing w:before="120" w:after="120" w:line="288" w:lineRule="auto"/>
        <w:ind w:left="0"/>
        <w:jc w:val="left"/>
      </w:pPr>
      <w:r>
        <w:rPr>
          <w:rFonts w:ascii="Arial" w:hAnsi="Arial" w:eastAsia="等线" w:cs="Arial"/>
          <w:sz w:val="22"/>
        </w:rPr>
        <w:t>主要是激素水平的变化：</w:t>
      </w:r>
    </w:p>
    <w:p w14:paraId="2DB8114A">
      <w:pPr>
        <w:numPr>
          <w:ilvl w:val="0"/>
          <w:numId w:val="36"/>
        </w:numPr>
        <w:spacing w:before="120" w:after="120" w:line="288" w:lineRule="auto"/>
        <w:ind w:left="0"/>
        <w:jc w:val="left"/>
      </w:pPr>
      <w:bookmarkStart w:id="17" w:name="_GoBack"/>
      <w:bookmarkEnd w:id="17"/>
      <w:r>
        <w:rPr>
          <w:rFonts w:ascii="Arial" w:hAnsi="Arial" w:eastAsia="等线" w:cs="Arial"/>
          <w:sz w:val="22"/>
        </w:rPr>
        <w:t>E2:卵巢功能衰退，雌激素分泌减少。不同阶段有波动，早期↑，后期。</w:t>
      </w:r>
    </w:p>
    <w:p w14:paraId="0C7AFB81">
      <w:pPr>
        <w:numPr>
          <w:ilvl w:val="0"/>
          <w:numId w:val="37"/>
        </w:numPr>
        <w:spacing w:before="120" w:after="120" w:line="288" w:lineRule="auto"/>
        <w:ind w:left="0"/>
        <w:jc w:val="left"/>
      </w:pPr>
      <w:r>
        <w:rPr>
          <w:rFonts w:ascii="Arial" w:hAnsi="Arial" w:eastAsia="等线" w:cs="Arial"/>
          <w:sz w:val="22"/>
        </w:rPr>
        <w:t>P:有排卵但卵泡延长，黄体功能不全，孕酮分泌↓。</w:t>
      </w:r>
    </w:p>
    <w:p w14:paraId="2832D78B">
      <w:pPr>
        <w:numPr>
          <w:ilvl w:val="0"/>
          <w:numId w:val="38"/>
        </w:numPr>
        <w:spacing w:before="120" w:after="120" w:line="288" w:lineRule="auto"/>
        <w:ind w:left="0"/>
        <w:jc w:val="left"/>
      </w:pPr>
      <w:r>
        <w:rPr>
          <w:rFonts w:ascii="Arial" w:hAnsi="Arial" w:eastAsia="等线" w:cs="Arial"/>
          <w:sz w:val="22"/>
        </w:rPr>
        <w:t>促性腺激素升高：FSH呈波动性水平，LH可在正常范围，FSH/LH常&lt;1。</w:t>
      </w:r>
    </w:p>
    <w:p w14:paraId="4D72B9E5">
      <w:pPr>
        <w:spacing w:before="120" w:after="120" w:line="288" w:lineRule="auto"/>
        <w:ind w:left="0"/>
        <w:jc w:val="left"/>
      </w:pPr>
    </w:p>
    <w:p w14:paraId="54B0C62C">
      <w:pPr>
        <w:spacing w:before="260" w:after="120" w:line="288" w:lineRule="auto"/>
        <w:ind w:left="0"/>
        <w:jc w:val="left"/>
        <w:outlineLvl w:val="3"/>
      </w:pPr>
      <w:bookmarkStart w:id="16" w:name="heading_120"/>
      <w:r>
        <w:rPr>
          <w:rFonts w:ascii="Arial" w:hAnsi="Arial" w:eastAsia="等线" w:cs="Arial"/>
          <w:b/>
          <w:sz w:val="28"/>
        </w:rPr>
        <w:t>十六、影响生育的因素</w:t>
      </w:r>
      <w:bookmarkEnd w:id="16"/>
    </w:p>
    <w:p w14:paraId="5AE64E64">
      <w:pPr>
        <w:numPr>
          <w:ilvl w:val="0"/>
          <w:numId w:val="39"/>
        </w:numPr>
        <w:spacing w:before="120" w:after="120" w:line="288" w:lineRule="auto"/>
        <w:ind w:left="0"/>
        <w:jc w:val="left"/>
      </w:pPr>
      <w:r>
        <w:rPr>
          <w:rFonts w:ascii="Arial" w:hAnsi="Arial" w:eastAsia="等线" w:cs="Arial"/>
          <w:sz w:val="22"/>
        </w:rPr>
        <w:t>生活方式：饮酒和吸烟证实能损害男性和女性的生育力。两者兼具比单个问题更严重。体重过轻，超重或肥胖可降低女性生育力。长期暴露于高热，如热水浴和桑拿房，能降低精子质量。高剂量咖啡因（大于200mg/或大约2杯)经相关研究证实使受孕更困难，并增加流产的风险。接触毒性物质，如工作中的农药、放射物质、X-射线及电磁波或微波的发射可导致精子异常。一些治疗心脏病和高血压的药物可导致男性不育。</w:t>
      </w:r>
    </w:p>
    <w:p w14:paraId="743E4FD1">
      <w:pPr>
        <w:numPr>
          <w:ilvl w:val="0"/>
          <w:numId w:val="40"/>
        </w:numPr>
        <w:spacing w:before="120" w:after="120" w:line="288" w:lineRule="auto"/>
        <w:ind w:left="0"/>
        <w:jc w:val="left"/>
      </w:pPr>
      <w:r>
        <w:rPr>
          <w:rFonts w:ascii="Arial" w:hAnsi="Arial" w:eastAsia="等线" w:cs="Arial"/>
          <w:sz w:val="22"/>
        </w:rPr>
        <w:t>女性因素：①排卵问题：在所有不孕女性中，大约25%有排卵问题。正常的卵巢周期的调控非常复杂，即使微小变化也可能扰乱周期，阻碍排卵。在大多数情况下，这个问题由激素失衡引起。有时，排卵异常还可能与体重显著变化（减轻或增重）有关，包括体重极轻或超重；②其它妇科疾病：输卵管阻塞-有许多病因，包括既往生殖道及盆腔感染或性传播疾病(STD),可能导致输卵管阻塞，这将会阻止精子和卵细胞结合。宫颈疾病-某些宫颈问题能阻止精子进入子宫。子宫内膜异位症-指宫腔内的正常内膜细胞种植于子宫外，如卵巢或其他盆腔器官，异位的子宫内膜病灶会分泌一些有害因子。约35%的子宫内膜异位症女性合并不育。多囊卵巢综合征(PCOS)-是女性不育的主要原因之一，PCOS是一种激素水平异常导致的排卵障碍，卵巢呈现多囊状态。③病史：这儿有一些仅对女性有风险的信号；如果您适合其中一类，那么应与您的医师取得联系：超过35岁，月经不规律或停经，两次或以上的非自愿流产，子宫内膜异位症/痛经，溢乳，严重痤疮或多毛症（体毛）。</w:t>
      </w:r>
    </w:p>
    <w:p w14:paraId="440E6497">
      <w:pPr>
        <w:numPr>
          <w:ilvl w:val="0"/>
          <w:numId w:val="41"/>
        </w:numPr>
        <w:spacing w:before="120" w:after="120" w:line="288" w:lineRule="auto"/>
        <w:ind w:left="0"/>
        <w:jc w:val="left"/>
      </w:pPr>
      <w:r>
        <w:rPr>
          <w:rFonts w:ascii="Arial" w:hAnsi="Arial" w:eastAsia="等线" w:cs="Arial"/>
          <w:sz w:val="22"/>
        </w:rPr>
        <w:t>男性因素：①精子的问题：许多男性不育问题与精子功能障碍有关。在决定精子能否成功受精中，许多因素参与作用：精子计数（精子数目），运动性（运动的能力），形态学（向前移动，运动质量）大小和形状；②其它男科疾病：勃起功能障碍，睾丸未降，逆行射精，阴囊精索静脉曲张；③病史或家族史：如果您的伴侣曾有以下问题，也可能导致受孕障碍：青春期后腮腺炎，既往泌尿外科手术，前列腺感染，囊性纤维化或其他遗传病家族史</w:t>
      </w:r>
    </w:p>
    <w:p w14:paraId="1912D282">
      <w:pPr>
        <w:numPr>
          <w:ilvl w:val="0"/>
          <w:numId w:val="42"/>
        </w:numPr>
        <w:spacing w:before="120" w:after="120" w:line="288" w:lineRule="auto"/>
        <w:ind w:left="0"/>
        <w:jc w:val="left"/>
      </w:pPr>
      <w:r>
        <w:rPr>
          <w:rFonts w:ascii="Arial" w:hAnsi="Arial" w:eastAsia="等线" w:cs="Arial"/>
          <w:sz w:val="22"/>
        </w:rPr>
        <w:t>双方的因素：①男女双方的卵子和精子难以结合：夫妻双方对性知识缺乏。夫妇双方过分担心生育问题引起心理紧张；②免疫因素：女方宫颈粘液中能产生精子抗体，可导致精子无法进入女方子宫，不能受精。男方精液中产生对抗自身精子的抗体，导致射出的精子发生自身凝集而不能穿过宫颈粘液。</w:t>
      </w:r>
    </w:p>
    <w:p w14:paraId="5306C889">
      <w:pPr>
        <w:numPr>
          <w:ilvl w:val="0"/>
          <w:numId w:val="43"/>
        </w:numPr>
        <w:spacing w:before="120" w:after="120" w:line="288" w:lineRule="auto"/>
        <w:ind w:left="0"/>
        <w:jc w:val="left"/>
      </w:pPr>
      <w:r>
        <w:rPr>
          <w:rFonts w:ascii="Arial" w:hAnsi="Arial" w:eastAsia="等线" w:cs="Arial"/>
          <w:sz w:val="22"/>
        </w:rPr>
        <w:t>年龄因素：年龄并不是怀孕的绝对障碍，但是女性和男性的生育力都会随着年龄的增加而降低。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AEB125"/>
    <w:multiLevelType w:val="singleLevel"/>
    <w:tmpl w:val="8CAEB125"/>
    <w:lvl w:ilvl="0" w:tentative="0">
      <w:start w:val="1"/>
      <w:numFmt w:val="decimal"/>
      <w:lvlText w:val="%1."/>
      <w:lvlJc w:val="left"/>
      <w:rPr>
        <w:color w:val="3370FF"/>
      </w:rPr>
    </w:lvl>
  </w:abstractNum>
  <w:abstractNum w:abstractNumId="1">
    <w:nsid w:val="9377BC45"/>
    <w:multiLevelType w:val="singleLevel"/>
    <w:tmpl w:val="9377BC45"/>
    <w:lvl w:ilvl="0" w:tentative="0">
      <w:start w:val="3"/>
      <w:numFmt w:val="decimal"/>
      <w:lvlText w:val="%1."/>
      <w:lvlJc w:val="left"/>
      <w:rPr>
        <w:color w:val="3370FF"/>
      </w:rPr>
    </w:lvl>
  </w:abstractNum>
  <w:abstractNum w:abstractNumId="2">
    <w:nsid w:val="9ACF65A0"/>
    <w:multiLevelType w:val="singleLevel"/>
    <w:tmpl w:val="9ACF65A0"/>
    <w:lvl w:ilvl="0" w:tentative="0">
      <w:start w:val="2"/>
      <w:numFmt w:val="decimal"/>
      <w:lvlText w:val="%1."/>
      <w:lvlJc w:val="left"/>
      <w:rPr>
        <w:color w:val="3370FF"/>
      </w:rPr>
    </w:lvl>
  </w:abstractNum>
  <w:abstractNum w:abstractNumId="3">
    <w:nsid w:val="9D5D7490"/>
    <w:multiLevelType w:val="singleLevel"/>
    <w:tmpl w:val="9D5D7490"/>
    <w:lvl w:ilvl="0" w:tentative="0">
      <w:start w:val="4"/>
      <w:numFmt w:val="decimal"/>
      <w:lvlText w:val="%1."/>
      <w:lvlJc w:val="left"/>
      <w:rPr>
        <w:color w:val="3370FF"/>
      </w:rPr>
    </w:lvl>
  </w:abstractNum>
  <w:abstractNum w:abstractNumId="4">
    <w:nsid w:val="A0C93552"/>
    <w:multiLevelType w:val="singleLevel"/>
    <w:tmpl w:val="A0C93552"/>
    <w:lvl w:ilvl="0" w:tentative="0">
      <w:start w:val="2"/>
      <w:numFmt w:val="decimal"/>
      <w:lvlText w:val="%1."/>
      <w:lvlJc w:val="left"/>
      <w:rPr>
        <w:color w:val="3370FF"/>
      </w:rPr>
    </w:lvl>
  </w:abstractNum>
  <w:abstractNum w:abstractNumId="5">
    <w:nsid w:val="A0F05207"/>
    <w:multiLevelType w:val="singleLevel"/>
    <w:tmpl w:val="A0F05207"/>
    <w:lvl w:ilvl="0" w:tentative="0">
      <w:start w:val="3"/>
      <w:numFmt w:val="decimal"/>
      <w:lvlText w:val="%1."/>
      <w:lvlJc w:val="left"/>
      <w:rPr>
        <w:color w:val="3370FF"/>
      </w:rPr>
    </w:lvl>
  </w:abstractNum>
  <w:abstractNum w:abstractNumId="6">
    <w:nsid w:val="AAF3F3FA"/>
    <w:multiLevelType w:val="singleLevel"/>
    <w:tmpl w:val="AAF3F3FA"/>
    <w:lvl w:ilvl="0" w:tentative="0">
      <w:start w:val="5"/>
      <w:numFmt w:val="decimal"/>
      <w:lvlText w:val="%1."/>
      <w:lvlJc w:val="left"/>
      <w:rPr>
        <w:color w:val="3370FF"/>
      </w:rPr>
    </w:lvl>
  </w:abstractNum>
  <w:abstractNum w:abstractNumId="7">
    <w:nsid w:val="B0ED9BEA"/>
    <w:multiLevelType w:val="singleLevel"/>
    <w:tmpl w:val="B0ED9BEA"/>
    <w:lvl w:ilvl="0" w:tentative="0">
      <w:start w:val="2"/>
      <w:numFmt w:val="decimal"/>
      <w:lvlText w:val="%1."/>
      <w:lvlJc w:val="left"/>
      <w:rPr>
        <w:color w:val="3370FF"/>
      </w:rPr>
    </w:lvl>
  </w:abstractNum>
  <w:abstractNum w:abstractNumId="8">
    <w:nsid w:val="B23A94A9"/>
    <w:multiLevelType w:val="singleLevel"/>
    <w:tmpl w:val="B23A94A9"/>
    <w:lvl w:ilvl="0" w:tentative="0">
      <w:start w:val="1"/>
      <w:numFmt w:val="decimal"/>
      <w:lvlText w:val="%1."/>
      <w:lvlJc w:val="left"/>
      <w:rPr>
        <w:color w:val="3370FF"/>
      </w:rPr>
    </w:lvl>
  </w:abstractNum>
  <w:abstractNum w:abstractNumId="9">
    <w:nsid w:val="B53F3350"/>
    <w:multiLevelType w:val="singleLevel"/>
    <w:tmpl w:val="B53F3350"/>
    <w:lvl w:ilvl="0" w:tentative="0">
      <w:start w:val="2"/>
      <w:numFmt w:val="decimal"/>
      <w:lvlText w:val="%1."/>
      <w:lvlJc w:val="left"/>
      <w:rPr>
        <w:color w:val="3370FF"/>
      </w:rPr>
    </w:lvl>
  </w:abstractNum>
  <w:abstractNum w:abstractNumId="10">
    <w:nsid w:val="B88D21A8"/>
    <w:multiLevelType w:val="singleLevel"/>
    <w:tmpl w:val="B88D21A8"/>
    <w:lvl w:ilvl="0" w:tentative="0">
      <w:start w:val="5"/>
      <w:numFmt w:val="decimal"/>
      <w:lvlText w:val="%1."/>
      <w:lvlJc w:val="left"/>
      <w:rPr>
        <w:color w:val="3370FF"/>
      </w:rPr>
    </w:lvl>
  </w:abstractNum>
  <w:abstractNum w:abstractNumId="11">
    <w:nsid w:val="BDA1395C"/>
    <w:multiLevelType w:val="singleLevel"/>
    <w:tmpl w:val="BDA1395C"/>
    <w:lvl w:ilvl="0" w:tentative="0">
      <w:start w:val="1"/>
      <w:numFmt w:val="decimal"/>
      <w:lvlText w:val="%1."/>
      <w:lvlJc w:val="left"/>
      <w:rPr>
        <w:color w:val="3370FF"/>
      </w:rPr>
    </w:lvl>
  </w:abstractNum>
  <w:abstractNum w:abstractNumId="12">
    <w:nsid w:val="C0915F4F"/>
    <w:multiLevelType w:val="singleLevel"/>
    <w:tmpl w:val="C0915F4F"/>
    <w:lvl w:ilvl="0" w:tentative="0">
      <w:start w:val="5"/>
      <w:numFmt w:val="decimal"/>
      <w:lvlText w:val="%1."/>
      <w:lvlJc w:val="left"/>
      <w:rPr>
        <w:color w:val="3370FF"/>
      </w:rPr>
    </w:lvl>
  </w:abstractNum>
  <w:abstractNum w:abstractNumId="13">
    <w:nsid w:val="C4E0D24A"/>
    <w:multiLevelType w:val="singleLevel"/>
    <w:tmpl w:val="C4E0D24A"/>
    <w:lvl w:ilvl="0" w:tentative="0">
      <w:start w:val="1"/>
      <w:numFmt w:val="decimal"/>
      <w:lvlText w:val="%1."/>
      <w:lvlJc w:val="left"/>
      <w:rPr>
        <w:color w:val="3370FF"/>
      </w:rPr>
    </w:lvl>
  </w:abstractNum>
  <w:abstractNum w:abstractNumId="14">
    <w:nsid w:val="D7D140E4"/>
    <w:multiLevelType w:val="singleLevel"/>
    <w:tmpl w:val="D7D140E4"/>
    <w:lvl w:ilvl="0" w:tentative="0">
      <w:start w:val="4"/>
      <w:numFmt w:val="decimal"/>
      <w:lvlText w:val="%1."/>
      <w:lvlJc w:val="left"/>
      <w:rPr>
        <w:color w:val="3370FF"/>
      </w:rPr>
    </w:lvl>
  </w:abstractNum>
  <w:abstractNum w:abstractNumId="15">
    <w:nsid w:val="DAD3A854"/>
    <w:multiLevelType w:val="singleLevel"/>
    <w:tmpl w:val="DAD3A854"/>
    <w:lvl w:ilvl="0" w:tentative="0">
      <w:start w:val="4"/>
      <w:numFmt w:val="decimal"/>
      <w:lvlText w:val="%1."/>
      <w:lvlJc w:val="left"/>
      <w:rPr>
        <w:color w:val="3370FF"/>
      </w:rPr>
    </w:lvl>
  </w:abstractNum>
  <w:abstractNum w:abstractNumId="16">
    <w:nsid w:val="E504947C"/>
    <w:multiLevelType w:val="singleLevel"/>
    <w:tmpl w:val="E504947C"/>
    <w:lvl w:ilvl="0" w:tentative="0">
      <w:start w:val="4"/>
      <w:numFmt w:val="decimal"/>
      <w:lvlText w:val="%1."/>
      <w:lvlJc w:val="left"/>
      <w:rPr>
        <w:color w:val="3370FF"/>
      </w:rPr>
    </w:lvl>
  </w:abstractNum>
  <w:abstractNum w:abstractNumId="17">
    <w:nsid w:val="E7B27C5B"/>
    <w:multiLevelType w:val="singleLevel"/>
    <w:tmpl w:val="E7B27C5B"/>
    <w:lvl w:ilvl="0" w:tentative="0">
      <w:start w:val="1"/>
      <w:numFmt w:val="decimal"/>
      <w:lvlText w:val="%1."/>
      <w:lvlJc w:val="left"/>
      <w:rPr>
        <w:color w:val="3370FF"/>
      </w:rPr>
    </w:lvl>
  </w:abstractNum>
  <w:abstractNum w:abstractNumId="18">
    <w:nsid w:val="F0E89278"/>
    <w:multiLevelType w:val="singleLevel"/>
    <w:tmpl w:val="F0E89278"/>
    <w:lvl w:ilvl="0" w:tentative="0">
      <w:start w:val="7"/>
      <w:numFmt w:val="decimal"/>
      <w:lvlText w:val="%1."/>
      <w:lvlJc w:val="left"/>
      <w:rPr>
        <w:color w:val="3370FF"/>
      </w:rPr>
    </w:lvl>
  </w:abstractNum>
  <w:abstractNum w:abstractNumId="19">
    <w:nsid w:val="F689643B"/>
    <w:multiLevelType w:val="singleLevel"/>
    <w:tmpl w:val="F689643B"/>
    <w:lvl w:ilvl="0" w:tentative="0">
      <w:start w:val="4"/>
      <w:numFmt w:val="decimal"/>
      <w:lvlText w:val="%1."/>
      <w:lvlJc w:val="left"/>
      <w:rPr>
        <w:color w:val="3370FF"/>
      </w:rPr>
    </w:lvl>
  </w:abstractNum>
  <w:abstractNum w:abstractNumId="20">
    <w:nsid w:val="FEC2EA36"/>
    <w:multiLevelType w:val="singleLevel"/>
    <w:tmpl w:val="FEC2EA36"/>
    <w:lvl w:ilvl="0" w:tentative="0">
      <w:start w:val="1"/>
      <w:numFmt w:val="decimal"/>
      <w:lvlText w:val="%1."/>
      <w:lvlJc w:val="left"/>
      <w:rPr>
        <w:color w:val="3370FF"/>
      </w:rPr>
    </w:lvl>
  </w:abstractNum>
  <w:abstractNum w:abstractNumId="21">
    <w:nsid w:val="03A63A41"/>
    <w:multiLevelType w:val="singleLevel"/>
    <w:tmpl w:val="03A63A41"/>
    <w:lvl w:ilvl="0" w:tentative="0">
      <w:start w:val="4"/>
      <w:numFmt w:val="decimal"/>
      <w:lvlText w:val="%1."/>
      <w:lvlJc w:val="left"/>
      <w:rPr>
        <w:color w:val="3370FF"/>
      </w:rPr>
    </w:lvl>
  </w:abstractNum>
  <w:abstractNum w:abstractNumId="22">
    <w:nsid w:val="0709FD3E"/>
    <w:multiLevelType w:val="singleLevel"/>
    <w:tmpl w:val="0709FD3E"/>
    <w:lvl w:ilvl="0" w:tentative="0">
      <w:start w:val="2"/>
      <w:numFmt w:val="decimal"/>
      <w:lvlText w:val="%1."/>
      <w:lvlJc w:val="left"/>
      <w:rPr>
        <w:color w:val="3370FF"/>
      </w:rPr>
    </w:lvl>
  </w:abstractNum>
  <w:abstractNum w:abstractNumId="23">
    <w:nsid w:val="0CEF100B"/>
    <w:multiLevelType w:val="singleLevel"/>
    <w:tmpl w:val="0CEF100B"/>
    <w:lvl w:ilvl="0" w:tentative="0">
      <w:start w:val="3"/>
      <w:numFmt w:val="decimal"/>
      <w:lvlText w:val="%1."/>
      <w:lvlJc w:val="left"/>
      <w:rPr>
        <w:color w:val="3370FF"/>
      </w:rPr>
    </w:lvl>
  </w:abstractNum>
  <w:abstractNum w:abstractNumId="24">
    <w:nsid w:val="0F9F9CCA"/>
    <w:multiLevelType w:val="singleLevel"/>
    <w:tmpl w:val="0F9F9CCA"/>
    <w:lvl w:ilvl="0" w:tentative="0">
      <w:start w:val="2"/>
      <w:numFmt w:val="decimal"/>
      <w:lvlText w:val="%1."/>
      <w:lvlJc w:val="left"/>
      <w:rPr>
        <w:color w:val="3370FF"/>
      </w:rPr>
    </w:lvl>
  </w:abstractNum>
  <w:abstractNum w:abstractNumId="25">
    <w:nsid w:val="12EADF99"/>
    <w:multiLevelType w:val="singleLevel"/>
    <w:tmpl w:val="12EADF99"/>
    <w:lvl w:ilvl="0" w:tentative="0">
      <w:start w:val="6"/>
      <w:numFmt w:val="decimal"/>
      <w:lvlText w:val="%1."/>
      <w:lvlJc w:val="left"/>
      <w:rPr>
        <w:color w:val="3370FF"/>
      </w:rPr>
    </w:lvl>
  </w:abstractNum>
  <w:abstractNum w:abstractNumId="26">
    <w:nsid w:val="18F74015"/>
    <w:multiLevelType w:val="singleLevel"/>
    <w:tmpl w:val="18F74015"/>
    <w:lvl w:ilvl="0" w:tentative="0">
      <w:start w:val="2"/>
      <w:numFmt w:val="decimal"/>
      <w:lvlText w:val="%1."/>
      <w:lvlJc w:val="left"/>
      <w:rPr>
        <w:color w:val="3370FF"/>
      </w:rPr>
    </w:lvl>
  </w:abstractNum>
  <w:abstractNum w:abstractNumId="27">
    <w:nsid w:val="1C257C7B"/>
    <w:multiLevelType w:val="singleLevel"/>
    <w:tmpl w:val="1C257C7B"/>
    <w:lvl w:ilvl="0" w:tentative="0">
      <w:start w:val="6"/>
      <w:numFmt w:val="decimal"/>
      <w:lvlText w:val="%1."/>
      <w:lvlJc w:val="left"/>
      <w:rPr>
        <w:color w:val="3370FF"/>
      </w:rPr>
    </w:lvl>
  </w:abstractNum>
  <w:abstractNum w:abstractNumId="28">
    <w:nsid w:val="23E97754"/>
    <w:multiLevelType w:val="singleLevel"/>
    <w:tmpl w:val="23E97754"/>
    <w:lvl w:ilvl="0" w:tentative="0">
      <w:start w:val="1"/>
      <w:numFmt w:val="decimal"/>
      <w:lvlText w:val="%1."/>
      <w:lvlJc w:val="left"/>
      <w:rPr>
        <w:color w:val="3370FF"/>
      </w:rPr>
    </w:lvl>
  </w:abstractNum>
  <w:abstractNum w:abstractNumId="29">
    <w:nsid w:val="2F2D79CE"/>
    <w:multiLevelType w:val="singleLevel"/>
    <w:tmpl w:val="2F2D79CE"/>
    <w:lvl w:ilvl="0" w:tentative="0">
      <w:start w:val="6"/>
      <w:numFmt w:val="decimal"/>
      <w:lvlText w:val="%1."/>
      <w:lvlJc w:val="left"/>
      <w:rPr>
        <w:color w:val="3370FF"/>
      </w:rPr>
    </w:lvl>
  </w:abstractNum>
  <w:abstractNum w:abstractNumId="30">
    <w:nsid w:val="30A0AC00"/>
    <w:multiLevelType w:val="singleLevel"/>
    <w:tmpl w:val="30A0AC00"/>
    <w:lvl w:ilvl="0" w:tentative="0">
      <w:start w:val="5"/>
      <w:numFmt w:val="decimal"/>
      <w:lvlText w:val="%1."/>
      <w:lvlJc w:val="left"/>
      <w:rPr>
        <w:color w:val="3370FF"/>
      </w:rPr>
    </w:lvl>
  </w:abstractNum>
  <w:abstractNum w:abstractNumId="31">
    <w:nsid w:val="322D85CA"/>
    <w:multiLevelType w:val="singleLevel"/>
    <w:tmpl w:val="322D85CA"/>
    <w:lvl w:ilvl="0" w:tentative="0">
      <w:start w:val="5"/>
      <w:numFmt w:val="decimal"/>
      <w:lvlText w:val="%1."/>
      <w:lvlJc w:val="left"/>
      <w:rPr>
        <w:color w:val="3370FF"/>
      </w:rPr>
    </w:lvl>
  </w:abstractNum>
  <w:abstractNum w:abstractNumId="32">
    <w:nsid w:val="32A7AF2D"/>
    <w:multiLevelType w:val="singleLevel"/>
    <w:tmpl w:val="32A7AF2D"/>
    <w:lvl w:ilvl="0" w:tentative="0">
      <w:start w:val="5"/>
      <w:numFmt w:val="decimal"/>
      <w:lvlText w:val="%1."/>
      <w:lvlJc w:val="left"/>
      <w:rPr>
        <w:color w:val="3370FF"/>
      </w:rPr>
    </w:lvl>
  </w:abstractNum>
  <w:abstractNum w:abstractNumId="33">
    <w:nsid w:val="35E83B33"/>
    <w:multiLevelType w:val="singleLevel"/>
    <w:tmpl w:val="35E83B33"/>
    <w:lvl w:ilvl="0" w:tentative="0">
      <w:start w:val="3"/>
      <w:numFmt w:val="decimal"/>
      <w:lvlText w:val="%1."/>
      <w:lvlJc w:val="left"/>
      <w:rPr>
        <w:color w:val="3370FF"/>
      </w:rPr>
    </w:lvl>
  </w:abstractNum>
  <w:abstractNum w:abstractNumId="34">
    <w:nsid w:val="3B8127DF"/>
    <w:multiLevelType w:val="singleLevel"/>
    <w:tmpl w:val="3B8127DF"/>
    <w:lvl w:ilvl="0" w:tentative="0">
      <w:start w:val="2"/>
      <w:numFmt w:val="decimal"/>
      <w:lvlText w:val="%1."/>
      <w:lvlJc w:val="left"/>
      <w:rPr>
        <w:color w:val="3370FF"/>
      </w:rPr>
    </w:lvl>
  </w:abstractNum>
  <w:abstractNum w:abstractNumId="35">
    <w:nsid w:val="40B249F9"/>
    <w:multiLevelType w:val="singleLevel"/>
    <w:tmpl w:val="40B249F9"/>
    <w:lvl w:ilvl="0" w:tentative="0">
      <w:start w:val="1"/>
      <w:numFmt w:val="decimal"/>
      <w:lvlText w:val="%1."/>
      <w:lvlJc w:val="left"/>
      <w:rPr>
        <w:color w:val="3370FF"/>
      </w:rPr>
    </w:lvl>
  </w:abstractNum>
  <w:abstractNum w:abstractNumId="36">
    <w:nsid w:val="4C3D7A74"/>
    <w:multiLevelType w:val="singleLevel"/>
    <w:tmpl w:val="4C3D7A74"/>
    <w:lvl w:ilvl="0" w:tentative="0">
      <w:start w:val="4"/>
      <w:numFmt w:val="decimal"/>
      <w:lvlText w:val="%1."/>
      <w:lvlJc w:val="left"/>
      <w:rPr>
        <w:color w:val="3370FF"/>
      </w:rPr>
    </w:lvl>
  </w:abstractNum>
  <w:abstractNum w:abstractNumId="37">
    <w:nsid w:val="59EEFD2A"/>
    <w:multiLevelType w:val="singleLevel"/>
    <w:tmpl w:val="59EEFD2A"/>
    <w:lvl w:ilvl="0" w:tentative="0">
      <w:start w:val="3"/>
      <w:numFmt w:val="decimal"/>
      <w:lvlText w:val="%1."/>
      <w:lvlJc w:val="left"/>
      <w:rPr>
        <w:color w:val="3370FF"/>
      </w:rPr>
    </w:lvl>
  </w:abstractNum>
  <w:abstractNum w:abstractNumId="38">
    <w:nsid w:val="5FFFB1A7"/>
    <w:multiLevelType w:val="singleLevel"/>
    <w:tmpl w:val="5FFFB1A7"/>
    <w:lvl w:ilvl="0" w:tentative="0">
      <w:start w:val="2"/>
      <w:numFmt w:val="decimal"/>
      <w:lvlText w:val="%1."/>
      <w:lvlJc w:val="left"/>
      <w:rPr>
        <w:color w:val="3370FF"/>
      </w:rPr>
    </w:lvl>
  </w:abstractNum>
  <w:abstractNum w:abstractNumId="39">
    <w:nsid w:val="65CD0074"/>
    <w:multiLevelType w:val="singleLevel"/>
    <w:tmpl w:val="65CD0074"/>
    <w:lvl w:ilvl="0" w:tentative="0">
      <w:start w:val="1"/>
      <w:numFmt w:val="decimal"/>
      <w:lvlText w:val="%1."/>
      <w:lvlJc w:val="left"/>
      <w:rPr>
        <w:color w:val="3370FF"/>
      </w:rPr>
    </w:lvl>
  </w:abstractNum>
  <w:abstractNum w:abstractNumId="40">
    <w:nsid w:val="700FDCEF"/>
    <w:multiLevelType w:val="singleLevel"/>
    <w:tmpl w:val="700FDCEF"/>
    <w:lvl w:ilvl="0" w:tentative="0">
      <w:start w:val="3"/>
      <w:numFmt w:val="decimal"/>
      <w:lvlText w:val="%1."/>
      <w:lvlJc w:val="left"/>
      <w:rPr>
        <w:color w:val="3370FF"/>
      </w:rPr>
    </w:lvl>
  </w:abstractNum>
  <w:abstractNum w:abstractNumId="41">
    <w:nsid w:val="74C28B35"/>
    <w:multiLevelType w:val="singleLevel"/>
    <w:tmpl w:val="74C28B35"/>
    <w:lvl w:ilvl="0" w:tentative="0">
      <w:start w:val="3"/>
      <w:numFmt w:val="decimal"/>
      <w:lvlText w:val="%1."/>
      <w:lvlJc w:val="left"/>
      <w:rPr>
        <w:color w:val="3370FF"/>
      </w:rPr>
    </w:lvl>
  </w:abstractNum>
  <w:abstractNum w:abstractNumId="42">
    <w:nsid w:val="77633216"/>
    <w:multiLevelType w:val="singleLevel"/>
    <w:tmpl w:val="77633216"/>
    <w:lvl w:ilvl="0" w:tentative="0">
      <w:start w:val="3"/>
      <w:numFmt w:val="decimal"/>
      <w:lvlText w:val="%1."/>
      <w:lvlJc w:val="left"/>
      <w:rPr>
        <w:color w:val="3370FF"/>
      </w:rPr>
    </w:lvl>
  </w:abstractNum>
  <w:num w:numId="1">
    <w:abstractNumId w:val="0"/>
  </w:num>
  <w:num w:numId="2">
    <w:abstractNumId w:val="38"/>
  </w:num>
  <w:num w:numId="3">
    <w:abstractNumId w:val="41"/>
  </w:num>
  <w:num w:numId="4">
    <w:abstractNumId w:val="36"/>
  </w:num>
  <w:num w:numId="5">
    <w:abstractNumId w:val="31"/>
  </w:num>
  <w:num w:numId="6">
    <w:abstractNumId w:val="39"/>
  </w:num>
  <w:num w:numId="7">
    <w:abstractNumId w:val="22"/>
  </w:num>
  <w:num w:numId="8">
    <w:abstractNumId w:val="23"/>
  </w:num>
  <w:num w:numId="9">
    <w:abstractNumId w:val="14"/>
  </w:num>
  <w:num w:numId="10">
    <w:abstractNumId w:val="32"/>
  </w:num>
  <w:num w:numId="11">
    <w:abstractNumId w:val="27"/>
  </w:num>
  <w:num w:numId="12">
    <w:abstractNumId w:val="18"/>
  </w:num>
  <w:num w:numId="13">
    <w:abstractNumId w:val="28"/>
  </w:num>
  <w:num w:numId="14">
    <w:abstractNumId w:val="9"/>
  </w:num>
  <w:num w:numId="15">
    <w:abstractNumId w:val="35"/>
  </w:num>
  <w:num w:numId="16">
    <w:abstractNumId w:val="24"/>
  </w:num>
  <w:num w:numId="17">
    <w:abstractNumId w:val="33"/>
  </w:num>
  <w:num w:numId="18">
    <w:abstractNumId w:val="21"/>
  </w:num>
  <w:num w:numId="19">
    <w:abstractNumId w:val="12"/>
  </w:num>
  <w:num w:numId="20">
    <w:abstractNumId w:val="25"/>
  </w:num>
  <w:num w:numId="21">
    <w:abstractNumId w:val="8"/>
  </w:num>
  <w:num w:numId="22">
    <w:abstractNumId w:val="34"/>
  </w:num>
  <w:num w:numId="23">
    <w:abstractNumId w:val="5"/>
  </w:num>
  <w:num w:numId="24">
    <w:abstractNumId w:val="19"/>
  </w:num>
  <w:num w:numId="25">
    <w:abstractNumId w:val="30"/>
  </w:num>
  <w:num w:numId="26">
    <w:abstractNumId w:val="20"/>
  </w:num>
  <w:num w:numId="27">
    <w:abstractNumId w:val="26"/>
  </w:num>
  <w:num w:numId="28">
    <w:abstractNumId w:val="40"/>
  </w:num>
  <w:num w:numId="29">
    <w:abstractNumId w:val="16"/>
  </w:num>
  <w:num w:numId="30">
    <w:abstractNumId w:val="13"/>
  </w:num>
  <w:num w:numId="31">
    <w:abstractNumId w:val="4"/>
  </w:num>
  <w:num w:numId="32">
    <w:abstractNumId w:val="42"/>
  </w:num>
  <w:num w:numId="33">
    <w:abstractNumId w:val="15"/>
  </w:num>
  <w:num w:numId="34">
    <w:abstractNumId w:val="10"/>
  </w:num>
  <w:num w:numId="35">
    <w:abstractNumId w:val="29"/>
  </w:num>
  <w:num w:numId="36">
    <w:abstractNumId w:val="17"/>
  </w:num>
  <w:num w:numId="37">
    <w:abstractNumId w:val="2"/>
  </w:num>
  <w:num w:numId="38">
    <w:abstractNumId w:val="37"/>
  </w:num>
  <w:num w:numId="39">
    <w:abstractNumId w:val="11"/>
  </w:num>
  <w:num w:numId="40">
    <w:abstractNumId w:val="7"/>
  </w:num>
  <w:num w:numId="41">
    <w:abstractNumId w:val="1"/>
  </w:num>
  <w:num w:numId="42">
    <w:abstractNumId w:val="3"/>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286B53"/>
    <w:rsid w:val="60C83856"/>
    <w:rsid w:val="6E620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0</TotalTime>
  <ScaleCrop>false</ScaleCrop>
  <LinksUpToDate>false</LinksUpToDate>
  <CharactersWithSpaces>0</CharactersWithSpaces>
  <Application>WPS Office_12.1.0.22215_F1E327BC-269C-435d-A152-05C5408002CA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2025-07-27T06:16:43Z</dcterms:created>
  <dc:creator>IsetsuKarasu</dc:creator>
  <cp:lastModifiedBy>津軽雪</cp:lastModifiedBy>
  <dcterms:modified xsi:type="dcterms:W3CDTF">2025-07-27T06:18:11Z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2052-12.1.0.22215</vt:lpwstr>
  </property>
  <property fmtid="{D5CDD505-2E9C-101B-9397-08002B2CF9AE}" pid="3" name="KSOTemplateDocerSaveRecord">
    <vt:lpwstr>eyJoZGlkIjoiZjBiYzAwZWVmZTBjMTFkYjRiNThlZDkxYTViYTY0NjQiLCJ1c2VySWQiOiIzNjM2MjUyNTMifQ==</vt:lpwstr>
  </property>
  <property fmtid="{D5CDD505-2E9C-101B-9397-08002B2CF9AE}" pid="4" name="ICV">
    <vt:lpwstr>05CF854969744B699ECCFE495C3F937B_12</vt:lpwstr>
  </property>
</Properties>
</file>