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9161DC">
      <w:pPr>
        <w:spacing w:before="120" w:after="120" w:line="288" w:lineRule="auto"/>
        <w:ind w:left="0"/>
        <w:jc w:val="left"/>
      </w:pPr>
      <w:r>
        <w:rPr>
          <w:rFonts w:ascii="Arial" w:hAnsi="Arial" w:eastAsia="等线" w:cs="Arial"/>
          <w:b/>
          <w:sz w:val="22"/>
        </w:rPr>
        <w:t>一、 超促排卵用药种类</w:t>
      </w:r>
    </w:p>
    <w:p w14:paraId="2FD95196">
      <w:pPr>
        <w:spacing w:before="260" w:after="120" w:line="288" w:lineRule="auto"/>
        <w:ind w:left="0"/>
        <w:jc w:val="left"/>
        <w:outlineLvl w:val="3"/>
      </w:pPr>
      <w:bookmarkStart w:id="0" w:name="heading_130"/>
      <w:r>
        <w:rPr>
          <w:rFonts w:ascii="Arial" w:hAnsi="Arial" w:eastAsia="等线" w:cs="Arial"/>
          <w:color w:val="3370FF"/>
          <w:sz w:val="28"/>
        </w:rPr>
        <w:t xml:space="preserve">1. </w:t>
      </w:r>
      <w:r>
        <w:rPr>
          <w:rFonts w:ascii="Arial" w:hAnsi="Arial" w:eastAsia="等线" w:cs="Arial"/>
          <w:b/>
          <w:sz w:val="28"/>
        </w:rPr>
        <w:t>克罗米芬(clomiphene citrate，CC)</w:t>
      </w:r>
      <w:bookmarkEnd w:id="0"/>
    </w:p>
    <w:p w14:paraId="22F5D210">
      <w:pPr>
        <w:spacing w:before="120" w:after="120" w:line="288" w:lineRule="auto"/>
        <w:ind w:left="0"/>
        <w:jc w:val="left"/>
      </w:pPr>
      <w:bookmarkStart w:id="6" w:name="_GoBack"/>
      <w:bookmarkEnd w:id="6"/>
      <w:r>
        <w:rPr>
          <w:rFonts w:ascii="Arial" w:hAnsi="Arial" w:eastAsia="等线" w:cs="Arial"/>
          <w:b/>
          <w:sz w:val="22"/>
        </w:rPr>
        <w:t>机理</w:t>
      </w:r>
      <w:r>
        <w:rPr>
          <w:rFonts w:ascii="Arial" w:hAnsi="Arial" w:eastAsia="等线" w:cs="Arial"/>
          <w:sz w:val="22"/>
        </w:rPr>
        <w:t>：抗雌激素作用为主，有弱雌激素作用。与内源性雌激素竞争结合下丘脑细胞内的雌激素受体，同时抑制补充雌激素受体而使靶细胞对雌激素不敏感，解除雌激素对下丘脑的负反馈，促进GnRH释放，诱发排卵。</w:t>
      </w:r>
    </w:p>
    <w:p w14:paraId="6E2DD76F">
      <w:pPr>
        <w:spacing w:before="120" w:after="120" w:line="288" w:lineRule="auto"/>
        <w:ind w:left="0"/>
        <w:jc w:val="left"/>
      </w:pPr>
      <w:r>
        <w:rPr>
          <w:rFonts w:ascii="Arial" w:hAnsi="Arial" w:eastAsia="等线" w:cs="Arial"/>
          <w:sz w:val="22"/>
        </w:rPr>
        <w:t>用法：从自然月经或撤退（黄体酮20mg/Qd,肌注3天）出血的第5天开始，50mg/日，共5天，如无排卵则每周期增加50mg/日直至150mg/日。</w:t>
      </w:r>
    </w:p>
    <w:p w14:paraId="1D45C68B">
      <w:pPr>
        <w:spacing w:before="260" w:after="120" w:line="288" w:lineRule="auto"/>
        <w:ind w:left="0"/>
        <w:jc w:val="left"/>
        <w:outlineLvl w:val="3"/>
      </w:pPr>
      <w:bookmarkStart w:id="1" w:name="heading_131"/>
      <w:r>
        <w:rPr>
          <w:rFonts w:ascii="Arial" w:hAnsi="Arial" w:eastAsia="等线" w:cs="Arial"/>
          <w:color w:val="3370FF"/>
          <w:sz w:val="28"/>
        </w:rPr>
        <w:t xml:space="preserve">2. </w:t>
      </w:r>
      <w:r>
        <w:rPr>
          <w:rFonts w:ascii="Arial" w:hAnsi="Arial" w:eastAsia="等线" w:cs="Arial"/>
          <w:b/>
          <w:sz w:val="28"/>
        </w:rPr>
        <w:t>人类绝经期促性腺激素(HMG)</w:t>
      </w:r>
      <w:bookmarkEnd w:id="1"/>
    </w:p>
    <w:p w14:paraId="5442B0A2">
      <w:pPr>
        <w:spacing w:before="120" w:after="120" w:line="288" w:lineRule="auto"/>
        <w:ind w:left="0"/>
        <w:jc w:val="left"/>
      </w:pPr>
      <w:r>
        <w:rPr>
          <w:rFonts w:ascii="Arial" w:hAnsi="Arial" w:eastAsia="等线" w:cs="Arial"/>
          <w:sz w:val="22"/>
        </w:rPr>
        <w:t>由垂体前叶分泌的促黄体激素(LH)和促卵泡激素(FSH),两者协同作用，刺激卵巢中生殖细胞的发育及性激素的生成和分泌。</w:t>
      </w:r>
    </w:p>
    <w:p w14:paraId="4559A0EE">
      <w:pPr>
        <w:spacing w:before="120" w:after="120" w:line="288" w:lineRule="auto"/>
        <w:ind w:left="0"/>
        <w:jc w:val="left"/>
      </w:pPr>
      <w:r>
        <w:rPr>
          <w:rFonts w:ascii="Arial" w:hAnsi="Arial" w:eastAsia="等线" w:cs="Arial"/>
          <w:b/>
          <w:sz w:val="22"/>
        </w:rPr>
        <w:t>常用：乐宝得</w:t>
      </w:r>
    </w:p>
    <w:p w14:paraId="7574D483">
      <w:pPr>
        <w:spacing w:before="260" w:after="120" w:line="288" w:lineRule="auto"/>
        <w:ind w:left="0"/>
        <w:jc w:val="left"/>
        <w:outlineLvl w:val="3"/>
      </w:pPr>
      <w:bookmarkStart w:id="2" w:name="heading_132"/>
      <w:r>
        <w:rPr>
          <w:rFonts w:ascii="Arial" w:hAnsi="Arial" w:eastAsia="等线" w:cs="Arial"/>
          <w:color w:val="3370FF"/>
          <w:sz w:val="28"/>
        </w:rPr>
        <w:t xml:space="preserve">3. </w:t>
      </w:r>
      <w:r>
        <w:rPr>
          <w:rFonts w:ascii="Arial" w:hAnsi="Arial" w:eastAsia="等线" w:cs="Arial"/>
          <w:b/>
          <w:sz w:val="28"/>
        </w:rPr>
        <w:t>卵泡刺激素（FSH）</w:t>
      </w:r>
      <w:bookmarkEnd w:id="2"/>
    </w:p>
    <w:p w14:paraId="753271FB">
      <w:pPr>
        <w:spacing w:before="120" w:after="120" w:line="288" w:lineRule="auto"/>
        <w:ind w:left="0"/>
        <w:jc w:val="left"/>
      </w:pPr>
      <w:r>
        <w:rPr>
          <w:rFonts w:ascii="Arial" w:hAnsi="Arial" w:eastAsia="等线" w:cs="Arial"/>
          <w:sz w:val="22"/>
        </w:rPr>
        <w:t>FSH与卵泡颗粒细胞FSH受体结合刺激颗粒细胞增殖，分化，促进卵泡的生长（早窦卵泡期）；诱导卵泡结构和代谢的变化：雄酮转化成雌二醇和雌酮、诱导LH和泌乳素受体、激活细胞内孕激素合成必需的酶系统</w:t>
      </w:r>
    </w:p>
    <w:p w14:paraId="34ED8288">
      <w:pPr>
        <w:spacing w:before="120" w:after="120" w:line="288" w:lineRule="auto"/>
        <w:ind w:left="0"/>
        <w:jc w:val="left"/>
      </w:pPr>
      <w:r>
        <w:rPr>
          <w:rFonts w:ascii="Arial" w:hAnsi="Arial" w:eastAsia="等线" w:cs="Arial"/>
          <w:b/>
          <w:sz w:val="22"/>
        </w:rPr>
        <w:t>常用：丽申宝、果纳芬、普利康</w:t>
      </w:r>
    </w:p>
    <w:p w14:paraId="78EEF553">
      <w:pPr>
        <w:spacing w:before="260" w:after="120" w:line="288" w:lineRule="auto"/>
        <w:ind w:left="0"/>
        <w:jc w:val="left"/>
        <w:outlineLvl w:val="3"/>
      </w:pPr>
      <w:bookmarkStart w:id="3" w:name="heading_133"/>
      <w:r>
        <w:rPr>
          <w:rFonts w:ascii="Arial" w:hAnsi="Arial" w:eastAsia="等线" w:cs="Arial"/>
          <w:color w:val="3370FF"/>
          <w:sz w:val="28"/>
        </w:rPr>
        <w:t xml:space="preserve">4. </w:t>
      </w:r>
      <w:r>
        <w:rPr>
          <w:rFonts w:ascii="Arial" w:hAnsi="Arial" w:eastAsia="等线" w:cs="Arial"/>
          <w:b/>
          <w:sz w:val="28"/>
        </w:rPr>
        <w:t>促性腺激素释放激素激动剂(GnRHa)</w:t>
      </w:r>
      <w:bookmarkEnd w:id="3"/>
    </w:p>
    <w:p w14:paraId="207B0623">
      <w:pPr>
        <w:spacing w:before="120" w:after="120" w:line="288" w:lineRule="auto"/>
        <w:ind w:left="0"/>
        <w:jc w:val="left"/>
      </w:pPr>
      <w:r>
        <w:rPr>
          <w:rFonts w:ascii="Arial" w:hAnsi="Arial" w:eastAsia="等线" w:cs="Arial"/>
          <w:sz w:val="22"/>
        </w:rPr>
        <w:t>促性腺激素释放激素激动剂是以通过刺激机体内释放激素加速和增加释放促性腺激素的方式，间接的实现其临床应用的目的。</w:t>
      </w:r>
    </w:p>
    <w:p w14:paraId="391A6860">
      <w:pPr>
        <w:spacing w:before="120" w:after="120" w:line="288" w:lineRule="auto"/>
        <w:ind w:left="0"/>
        <w:jc w:val="left"/>
      </w:pPr>
      <w:r>
        <w:rPr>
          <w:rFonts w:ascii="Arial" w:hAnsi="Arial" w:eastAsia="等线" w:cs="Arial"/>
          <w:b/>
          <w:sz w:val="22"/>
        </w:rPr>
        <w:t>常用：达菲林、达必佳</w:t>
      </w:r>
    </w:p>
    <w:p w14:paraId="423098BE">
      <w:pPr>
        <w:spacing w:before="260" w:after="120" w:line="288" w:lineRule="auto"/>
        <w:ind w:left="0"/>
        <w:jc w:val="left"/>
        <w:outlineLvl w:val="3"/>
      </w:pPr>
      <w:bookmarkStart w:id="4" w:name="heading_134"/>
      <w:r>
        <w:rPr>
          <w:rFonts w:ascii="Arial" w:hAnsi="Arial" w:eastAsia="等线" w:cs="Arial"/>
          <w:color w:val="3370FF"/>
          <w:sz w:val="28"/>
        </w:rPr>
        <w:t xml:space="preserve">5. </w:t>
      </w:r>
      <w:r>
        <w:rPr>
          <w:rFonts w:ascii="Arial" w:hAnsi="Arial" w:eastAsia="等线" w:cs="Arial"/>
          <w:b/>
          <w:sz w:val="28"/>
        </w:rPr>
        <w:t>促性腺激素释放激素拮抗剂(GnRH-ant)</w:t>
      </w:r>
      <w:bookmarkEnd w:id="4"/>
    </w:p>
    <w:p w14:paraId="5CE876E1">
      <w:pPr>
        <w:spacing w:before="120" w:after="120" w:line="288" w:lineRule="auto"/>
        <w:ind w:left="0"/>
        <w:jc w:val="left"/>
      </w:pPr>
      <w:r>
        <w:rPr>
          <w:rFonts w:ascii="Arial" w:hAnsi="Arial" w:eastAsia="等线" w:cs="Arial"/>
          <w:sz w:val="22"/>
        </w:rPr>
        <w:t>促性腺激素释放激素拮抗剂是在促性腺激素释放激素基础上经过人工改造后使其在体内不容易被肽链内切酶裂解，稳定性增强，半衰期延长，临床应用更安全，与GnRH受体亲和力高20倍</w:t>
      </w:r>
    </w:p>
    <w:p w14:paraId="638F6C4B">
      <w:pPr>
        <w:spacing w:before="120" w:after="120" w:line="288" w:lineRule="auto"/>
        <w:ind w:left="0"/>
        <w:jc w:val="left"/>
      </w:pPr>
      <w:r>
        <w:rPr>
          <w:rFonts w:ascii="Arial" w:hAnsi="Arial" w:eastAsia="等线" w:cs="Arial"/>
          <w:b/>
          <w:sz w:val="22"/>
        </w:rPr>
        <w:t>常用：西曲瑞克、加尼瑞克</w:t>
      </w:r>
      <w:r>
        <w:rPr>
          <w:rFonts w:ascii="Arial" w:hAnsi="Arial" w:eastAsia="等线" w:cs="Arial"/>
          <w:sz w:val="22"/>
        </w:rPr>
        <w:t>。</w:t>
      </w:r>
    </w:p>
    <w:p w14:paraId="0EEDCCAE">
      <w:pPr>
        <w:spacing w:before="260" w:after="120" w:line="288" w:lineRule="auto"/>
        <w:ind w:left="0"/>
        <w:jc w:val="left"/>
        <w:outlineLvl w:val="3"/>
      </w:pPr>
      <w:bookmarkStart w:id="5" w:name="heading_135"/>
      <w:r>
        <w:rPr>
          <w:rFonts w:ascii="Arial" w:hAnsi="Arial" w:eastAsia="等线" w:cs="Arial"/>
          <w:color w:val="3370FF"/>
          <w:sz w:val="28"/>
        </w:rPr>
        <w:t xml:space="preserve">6. </w:t>
      </w:r>
      <w:r>
        <w:rPr>
          <w:rFonts w:ascii="Arial" w:hAnsi="Arial" w:eastAsia="等线" w:cs="Arial"/>
          <w:b/>
          <w:sz w:val="28"/>
        </w:rPr>
        <w:t>人绒毛膜促性腺激素(HCG)</w:t>
      </w:r>
      <w:bookmarkEnd w:id="5"/>
    </w:p>
    <w:p w14:paraId="376DC8D7">
      <w:pPr>
        <w:spacing w:before="120" w:after="120" w:line="288" w:lineRule="auto"/>
        <w:ind w:left="0"/>
        <w:jc w:val="left"/>
        <w:rPr>
          <w:rFonts w:ascii="Arial" w:hAnsi="Arial" w:eastAsia="等线" w:cs="Arial"/>
          <w:sz w:val="22"/>
        </w:rPr>
      </w:pPr>
      <w:r>
        <w:rPr>
          <w:rFonts w:ascii="Arial" w:hAnsi="Arial" w:eastAsia="等线" w:cs="Arial"/>
          <w:sz w:val="22"/>
        </w:rPr>
        <w:t>刺激黄体生成孕酮，hCG由胚胎，其后由胎盘分泌。是一种蛋白类激素。</w:t>
      </w:r>
    </w:p>
    <w:p w14:paraId="7CED9F80">
      <w:pPr>
        <w:spacing w:before="120" w:after="120" w:line="288" w:lineRule="auto"/>
        <w:ind w:left="0"/>
        <w:jc w:val="left"/>
      </w:pPr>
      <w:r>
        <w:rPr>
          <w:rFonts w:ascii="Arial" w:hAnsi="Arial" w:eastAsia="等线" w:cs="Arial"/>
          <w:sz w:val="22"/>
        </w:rPr>
        <w:t>HCG的作用：在LH分泌减少后维持黄体功能。支持雌激素、孕激素的进一步分泌，作用于子宫内膜，防止月经的发生。化学结构与LI类似，在月经中期用于模拟LH峰。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3D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2025-07-27T06:19:23Z</dcterms:created>
  <dc:creator>IsetsuKarasu</dc:creator>
  <cp:lastModifiedBy>津軽雪</cp:lastModifiedBy>
  <dcterms:modified xsi:type="dcterms:W3CDTF">2025-07-27T06:19:56Z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KSOTemplateDocerSaveRecord">
    <vt:lpwstr>eyJoZGlkIjoiZjBiYzAwZWVmZTBjMTFkYjRiNThlZDkxYTViYTY0NjQiLCJ1c2VySWQiOiIzNjM2MjUyNTMifQ==</vt:lpwstr>
  </property>
  <property fmtid="{D5CDD505-2E9C-101B-9397-08002B2CF9AE}" pid="4" name="ICV">
    <vt:lpwstr>31B2D2BF5247427CBA5761C9EE8BF3ED_12</vt:lpwstr>
  </property>
</Properties>
</file>