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83EC" w14:textId="77777777" w:rsidR="00B8019B" w:rsidRPr="00A53D1B" w:rsidRDefault="00B8019B" w:rsidP="00B8019B">
      <w:pPr>
        <w:jc w:val="center"/>
        <w:rPr>
          <w:rFonts w:ascii="Times New Roman" w:eastAsia="Times New Roman" w:hAnsi="Times New Roman" w:cs="Times New Roman"/>
          <w:b/>
          <w:bCs/>
          <w:sz w:val="48"/>
          <w:szCs w:val="48"/>
        </w:rPr>
      </w:pPr>
      <w:r w:rsidRPr="00A53D1B">
        <w:rPr>
          <w:rFonts w:ascii="Times New Roman" w:eastAsia="Times New Roman" w:hAnsi="Times New Roman" w:cs="Times New Roman"/>
          <w:b/>
          <w:bCs/>
          <w:sz w:val="48"/>
          <w:szCs w:val="48"/>
        </w:rPr>
        <w:t>AI-Driven System for Classifying Skin Diseases from Images</w:t>
      </w:r>
    </w:p>
    <w:p w14:paraId="5B87EB58" w14:textId="7947942D" w:rsidR="00B8019B" w:rsidRPr="00A53D1B" w:rsidRDefault="005F03D7" w:rsidP="00B8019B">
      <w:pPr>
        <w:spacing w:before="240" w:after="240"/>
        <w:jc w:val="center"/>
        <w:rPr>
          <w:rFonts w:ascii="Times New Roman" w:eastAsia="Times New Roman" w:hAnsi="Times New Roman" w:cs="Times New Roman"/>
          <w:b/>
          <w:sz w:val="48"/>
          <w:szCs w:val="48"/>
        </w:rPr>
      </w:pPr>
      <w:r w:rsidRPr="00A53D1B">
        <w:rPr>
          <w:rFonts w:ascii="Times New Roman" w:eastAsia="Times New Roman" w:hAnsi="Times New Roman" w:cs="Times New Roman"/>
          <w:b/>
          <w:sz w:val="48"/>
          <w:szCs w:val="48"/>
        </w:rPr>
        <w:t>Summary</w:t>
      </w:r>
      <w:r w:rsidR="00B8019B" w:rsidRPr="00A53D1B">
        <w:rPr>
          <w:rFonts w:ascii="Times New Roman" w:eastAsia="Times New Roman" w:hAnsi="Times New Roman" w:cs="Times New Roman"/>
          <w:b/>
          <w:sz w:val="48"/>
          <w:szCs w:val="48"/>
        </w:rPr>
        <w:t xml:space="preserve"> Document</w:t>
      </w:r>
    </w:p>
    <w:p w14:paraId="085C7D6B" w14:textId="77777777" w:rsidR="00B8019B" w:rsidRPr="00A53D1B" w:rsidRDefault="00B8019B" w:rsidP="00B8019B">
      <w:pPr>
        <w:spacing w:before="240" w:after="240"/>
        <w:jc w:val="center"/>
        <w:rPr>
          <w:rFonts w:ascii="Times New Roman" w:eastAsia="Times New Roman" w:hAnsi="Times New Roman" w:cs="Times New Roman"/>
        </w:rPr>
      </w:pPr>
    </w:p>
    <w:p w14:paraId="5F441B4E" w14:textId="693A03B4" w:rsidR="00B8019B" w:rsidRPr="00A53D1B" w:rsidRDefault="00B8019B" w:rsidP="00B8019B">
      <w:pPr>
        <w:spacing w:before="240" w:after="240"/>
        <w:jc w:val="center"/>
        <w:rPr>
          <w:rFonts w:ascii="Times New Roman" w:eastAsia="Times New Roman" w:hAnsi="Times New Roman" w:cs="Times New Roman"/>
          <w:b/>
          <w:sz w:val="36"/>
          <w:szCs w:val="36"/>
        </w:rPr>
      </w:pPr>
      <w:r w:rsidRPr="00A53D1B">
        <w:rPr>
          <w:rFonts w:ascii="Times New Roman" w:eastAsia="Times New Roman" w:hAnsi="Times New Roman" w:cs="Times New Roman"/>
          <w:b/>
          <w:sz w:val="36"/>
          <w:szCs w:val="36"/>
        </w:rPr>
        <w:t>Version 1.</w:t>
      </w:r>
      <w:r w:rsidR="00A307A8">
        <w:rPr>
          <w:rFonts w:ascii="Times New Roman" w:eastAsia="Times New Roman" w:hAnsi="Times New Roman" w:cs="Times New Roman"/>
          <w:b/>
          <w:sz w:val="36"/>
          <w:szCs w:val="36"/>
        </w:rPr>
        <w:t>1</w:t>
      </w:r>
    </w:p>
    <w:p w14:paraId="52D86A55" w14:textId="77777777" w:rsidR="00B8019B" w:rsidRPr="00A53D1B" w:rsidRDefault="00B8019B" w:rsidP="00B8019B">
      <w:pPr>
        <w:spacing w:before="240" w:after="240"/>
        <w:jc w:val="center"/>
        <w:rPr>
          <w:rFonts w:ascii="Times New Roman" w:eastAsia="Times New Roman" w:hAnsi="Times New Roman" w:cs="Times New Roman"/>
        </w:rPr>
      </w:pPr>
      <w:r w:rsidRPr="00A53D1B">
        <w:rPr>
          <w:rFonts w:ascii="Times New Roman" w:eastAsia="Times New Roman" w:hAnsi="Times New Roman" w:cs="Times New Roman"/>
        </w:rPr>
        <w:t xml:space="preserve"> </w:t>
      </w:r>
    </w:p>
    <w:p w14:paraId="53742767" w14:textId="77777777" w:rsidR="00B8019B" w:rsidRPr="00A53D1B" w:rsidRDefault="00B8019B" w:rsidP="00B8019B">
      <w:pPr>
        <w:spacing w:line="360" w:lineRule="auto"/>
        <w:jc w:val="center"/>
        <w:rPr>
          <w:rFonts w:ascii="Times New Roman" w:eastAsia="Times New Roman" w:hAnsi="Times New Roman" w:cs="Times New Roman"/>
          <w:b/>
          <w:sz w:val="36"/>
          <w:szCs w:val="36"/>
        </w:rPr>
      </w:pPr>
      <w:r w:rsidRPr="00A53D1B">
        <w:rPr>
          <w:rFonts w:ascii="Times New Roman" w:eastAsia="Times New Roman" w:hAnsi="Times New Roman" w:cs="Times New Roman"/>
          <w:b/>
          <w:sz w:val="36"/>
          <w:szCs w:val="36"/>
        </w:rPr>
        <w:t>Team Members:</w:t>
      </w:r>
    </w:p>
    <w:p w14:paraId="2A18832B"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 xml:space="preserve">Damian Williams </w:t>
      </w:r>
    </w:p>
    <w:p w14:paraId="096CDFEB"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Maddie Sidwell</w:t>
      </w:r>
    </w:p>
    <w:p w14:paraId="30D6DEF0"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Savannah Ostermeyer</w:t>
      </w:r>
    </w:p>
    <w:p w14:paraId="3E33693D"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Srinithi Yalamanchili</w:t>
      </w:r>
    </w:p>
    <w:p w14:paraId="55593103"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Manuel Nieves Garcia</w:t>
      </w:r>
    </w:p>
    <w:p w14:paraId="49C01D13" w14:textId="77777777" w:rsidR="0093199C" w:rsidRPr="00A53D1B" w:rsidRDefault="0093199C">
      <w:pPr>
        <w:rPr>
          <w:rFonts w:ascii="Times New Roman" w:hAnsi="Times New Roman" w:cs="Times New Roman"/>
        </w:rPr>
      </w:pPr>
    </w:p>
    <w:p w14:paraId="0561049F" w14:textId="143A6DF2" w:rsidR="00B8019B" w:rsidRPr="00A53D1B" w:rsidRDefault="00B8019B">
      <w:pPr>
        <w:rPr>
          <w:rFonts w:ascii="Times New Roman" w:hAnsi="Times New Roman" w:cs="Times New Roman"/>
          <w:b/>
          <w:bCs/>
        </w:rPr>
      </w:pPr>
      <w:r w:rsidRPr="00A53D1B">
        <w:rPr>
          <w:rFonts w:ascii="Times New Roman" w:hAnsi="Times New Roman" w:cs="Times New Roman"/>
          <w:b/>
          <w:bCs/>
        </w:rPr>
        <w:t xml:space="preserve">Revision History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858"/>
        <w:gridCol w:w="3953"/>
        <w:gridCol w:w="2135"/>
      </w:tblGrid>
      <w:tr w:rsidR="00B8019B" w:rsidRPr="00A53D1B" w14:paraId="46C4C61E" w14:textId="77777777" w:rsidTr="00EC79F5">
        <w:trPr>
          <w:tblHeader/>
          <w:tblCellSpacing w:w="15" w:type="dxa"/>
        </w:trPr>
        <w:tc>
          <w:tcPr>
            <w:tcW w:w="0" w:type="auto"/>
            <w:vAlign w:val="center"/>
            <w:hideMark/>
          </w:tcPr>
          <w:p w14:paraId="4CAB0CBA"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Date</w:t>
            </w:r>
          </w:p>
        </w:tc>
        <w:tc>
          <w:tcPr>
            <w:tcW w:w="0" w:type="auto"/>
            <w:vAlign w:val="center"/>
            <w:hideMark/>
          </w:tcPr>
          <w:p w14:paraId="59140C58"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Version</w:t>
            </w:r>
          </w:p>
        </w:tc>
        <w:tc>
          <w:tcPr>
            <w:tcW w:w="0" w:type="auto"/>
            <w:vAlign w:val="center"/>
            <w:hideMark/>
          </w:tcPr>
          <w:p w14:paraId="712A5E76"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Description</w:t>
            </w:r>
          </w:p>
        </w:tc>
        <w:tc>
          <w:tcPr>
            <w:tcW w:w="0" w:type="auto"/>
            <w:vAlign w:val="center"/>
            <w:hideMark/>
          </w:tcPr>
          <w:p w14:paraId="0176D48D"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Name(s)</w:t>
            </w:r>
          </w:p>
        </w:tc>
      </w:tr>
      <w:tr w:rsidR="00B8019B" w:rsidRPr="00A53D1B" w14:paraId="782332E0" w14:textId="77777777" w:rsidTr="00EC79F5">
        <w:trPr>
          <w:tblCellSpacing w:w="15" w:type="dxa"/>
        </w:trPr>
        <w:tc>
          <w:tcPr>
            <w:tcW w:w="0" w:type="auto"/>
            <w:vAlign w:val="center"/>
            <w:hideMark/>
          </w:tcPr>
          <w:p w14:paraId="05F13CC7" w14:textId="39B8365A" w:rsidR="00B8019B" w:rsidRPr="00A53D1B" w:rsidRDefault="00B8019B" w:rsidP="00EC79F5">
            <w:pPr>
              <w:rPr>
                <w:rFonts w:ascii="Times New Roman" w:hAnsi="Times New Roman" w:cs="Times New Roman"/>
              </w:rPr>
            </w:pPr>
            <w:r w:rsidRPr="00A53D1B">
              <w:rPr>
                <w:rFonts w:ascii="Times New Roman" w:hAnsi="Times New Roman" w:cs="Times New Roman"/>
              </w:rPr>
              <w:t>10/</w:t>
            </w:r>
            <w:r w:rsidR="005F03D7" w:rsidRPr="00A53D1B">
              <w:rPr>
                <w:rFonts w:ascii="Times New Roman" w:hAnsi="Times New Roman" w:cs="Times New Roman"/>
              </w:rPr>
              <w:t>17</w:t>
            </w:r>
            <w:r w:rsidRPr="00A53D1B">
              <w:rPr>
                <w:rFonts w:ascii="Times New Roman" w:hAnsi="Times New Roman" w:cs="Times New Roman"/>
              </w:rPr>
              <w:t>/25</w:t>
            </w:r>
          </w:p>
        </w:tc>
        <w:tc>
          <w:tcPr>
            <w:tcW w:w="0" w:type="auto"/>
            <w:vAlign w:val="center"/>
            <w:hideMark/>
          </w:tcPr>
          <w:p w14:paraId="12B54F00" w14:textId="77777777" w:rsidR="00B8019B" w:rsidRPr="00A53D1B" w:rsidRDefault="00B8019B" w:rsidP="00EC79F5">
            <w:pPr>
              <w:rPr>
                <w:rFonts w:ascii="Times New Roman" w:hAnsi="Times New Roman" w:cs="Times New Roman"/>
              </w:rPr>
            </w:pPr>
            <w:r w:rsidRPr="00A53D1B">
              <w:rPr>
                <w:rFonts w:ascii="Times New Roman" w:hAnsi="Times New Roman" w:cs="Times New Roman"/>
              </w:rPr>
              <w:t>1.0</w:t>
            </w:r>
          </w:p>
        </w:tc>
        <w:tc>
          <w:tcPr>
            <w:tcW w:w="0" w:type="auto"/>
            <w:vAlign w:val="center"/>
            <w:hideMark/>
          </w:tcPr>
          <w:p w14:paraId="50A46906" w14:textId="47D5C5DB" w:rsidR="00B8019B" w:rsidRPr="00A53D1B" w:rsidRDefault="00B8019B" w:rsidP="00EC79F5">
            <w:pPr>
              <w:rPr>
                <w:rFonts w:ascii="Times New Roman" w:hAnsi="Times New Roman" w:cs="Times New Roman"/>
              </w:rPr>
            </w:pPr>
            <w:r w:rsidRPr="00A53D1B">
              <w:rPr>
                <w:rFonts w:ascii="Times New Roman" w:hAnsi="Times New Roman" w:cs="Times New Roman"/>
              </w:rPr>
              <w:t xml:space="preserve">First iteration of the </w:t>
            </w:r>
            <w:r w:rsidR="005F03D7" w:rsidRPr="00A53D1B">
              <w:rPr>
                <w:rFonts w:ascii="Times New Roman" w:hAnsi="Times New Roman" w:cs="Times New Roman"/>
              </w:rPr>
              <w:t>summary</w:t>
            </w:r>
            <w:r w:rsidRPr="00A53D1B">
              <w:rPr>
                <w:rFonts w:ascii="Times New Roman" w:hAnsi="Times New Roman" w:cs="Times New Roman"/>
              </w:rPr>
              <w:t xml:space="preserve"> document</w:t>
            </w:r>
          </w:p>
        </w:tc>
        <w:tc>
          <w:tcPr>
            <w:tcW w:w="0" w:type="auto"/>
            <w:vAlign w:val="center"/>
            <w:hideMark/>
          </w:tcPr>
          <w:p w14:paraId="4E5DE398" w14:textId="77777777" w:rsidR="00B8019B" w:rsidRPr="00A53D1B" w:rsidRDefault="00B8019B" w:rsidP="00EC79F5">
            <w:pPr>
              <w:rPr>
                <w:rFonts w:ascii="Times New Roman" w:hAnsi="Times New Roman" w:cs="Times New Roman"/>
              </w:rPr>
            </w:pPr>
            <w:r w:rsidRPr="00A53D1B">
              <w:rPr>
                <w:rFonts w:ascii="Times New Roman" w:hAnsi="Times New Roman" w:cs="Times New Roman"/>
              </w:rPr>
              <w:t xml:space="preserve">Srinithi Yalamanchili </w:t>
            </w:r>
          </w:p>
          <w:p w14:paraId="02F124F3" w14:textId="77777777" w:rsidR="00B8019B" w:rsidRPr="00A53D1B" w:rsidRDefault="00B8019B" w:rsidP="00EC79F5">
            <w:pPr>
              <w:pStyle w:val="ListParagraph"/>
              <w:rPr>
                <w:rFonts w:ascii="Times New Roman" w:hAnsi="Times New Roman" w:cs="Times New Roman"/>
              </w:rPr>
            </w:pPr>
          </w:p>
        </w:tc>
      </w:tr>
      <w:tr w:rsidR="00B8019B" w:rsidRPr="00A53D1B" w14:paraId="1ED96102" w14:textId="77777777" w:rsidTr="00EC79F5">
        <w:trPr>
          <w:tblCellSpacing w:w="15" w:type="dxa"/>
        </w:trPr>
        <w:tc>
          <w:tcPr>
            <w:tcW w:w="0" w:type="auto"/>
            <w:vAlign w:val="center"/>
          </w:tcPr>
          <w:p w14:paraId="3FA3D6A8" w14:textId="36B63392" w:rsidR="00B8019B" w:rsidRPr="00A53D1B" w:rsidRDefault="00A307A8" w:rsidP="00EC79F5">
            <w:pPr>
              <w:rPr>
                <w:rFonts w:ascii="Times New Roman" w:hAnsi="Times New Roman" w:cs="Times New Roman"/>
              </w:rPr>
            </w:pPr>
            <w:r>
              <w:rPr>
                <w:rFonts w:ascii="Times New Roman" w:hAnsi="Times New Roman" w:cs="Times New Roman"/>
              </w:rPr>
              <w:t>12/5/2025</w:t>
            </w:r>
          </w:p>
        </w:tc>
        <w:tc>
          <w:tcPr>
            <w:tcW w:w="0" w:type="auto"/>
            <w:vAlign w:val="center"/>
          </w:tcPr>
          <w:p w14:paraId="0B6EC0D4" w14:textId="096A7E4E" w:rsidR="00B8019B" w:rsidRPr="00A53D1B" w:rsidRDefault="00A307A8" w:rsidP="00EC79F5">
            <w:pPr>
              <w:rPr>
                <w:rFonts w:ascii="Times New Roman" w:hAnsi="Times New Roman" w:cs="Times New Roman"/>
              </w:rPr>
            </w:pPr>
            <w:r>
              <w:rPr>
                <w:rFonts w:ascii="Times New Roman" w:hAnsi="Times New Roman" w:cs="Times New Roman"/>
              </w:rPr>
              <w:t>1.1</w:t>
            </w:r>
          </w:p>
        </w:tc>
        <w:tc>
          <w:tcPr>
            <w:tcW w:w="0" w:type="auto"/>
            <w:vAlign w:val="center"/>
          </w:tcPr>
          <w:p w14:paraId="32E837AB" w14:textId="30647414" w:rsidR="00B8019B" w:rsidRPr="00A53D1B" w:rsidRDefault="00A307A8" w:rsidP="00EC79F5">
            <w:pPr>
              <w:rPr>
                <w:rFonts w:ascii="Times New Roman" w:hAnsi="Times New Roman" w:cs="Times New Roman"/>
              </w:rPr>
            </w:pPr>
            <w:r>
              <w:rPr>
                <w:rFonts w:ascii="Times New Roman" w:hAnsi="Times New Roman" w:cs="Times New Roman"/>
              </w:rPr>
              <w:t>Revision</w:t>
            </w:r>
          </w:p>
        </w:tc>
        <w:tc>
          <w:tcPr>
            <w:tcW w:w="0" w:type="auto"/>
            <w:vAlign w:val="center"/>
          </w:tcPr>
          <w:p w14:paraId="11AC6CDF" w14:textId="262EEFEB" w:rsidR="00B8019B" w:rsidRPr="00A53D1B" w:rsidRDefault="00A307A8" w:rsidP="00EC79F5">
            <w:pPr>
              <w:rPr>
                <w:rFonts w:ascii="Times New Roman" w:hAnsi="Times New Roman" w:cs="Times New Roman"/>
              </w:rPr>
            </w:pPr>
            <w:r w:rsidRPr="00A53D1B">
              <w:rPr>
                <w:rFonts w:ascii="Times New Roman" w:hAnsi="Times New Roman" w:cs="Times New Roman"/>
              </w:rPr>
              <w:t xml:space="preserve">Srinithi Yalamanchili </w:t>
            </w:r>
          </w:p>
        </w:tc>
      </w:tr>
    </w:tbl>
    <w:p w14:paraId="3AE05F0B" w14:textId="77777777" w:rsidR="00B8019B" w:rsidRPr="00A53D1B" w:rsidRDefault="00B8019B">
      <w:pPr>
        <w:rPr>
          <w:rFonts w:ascii="Times New Roman" w:hAnsi="Times New Roman" w:cs="Times New Roman"/>
        </w:rPr>
      </w:pPr>
    </w:p>
    <w:p w14:paraId="7951544F" w14:textId="77777777" w:rsidR="00EC4F26" w:rsidRPr="00A53D1B" w:rsidRDefault="00EC4F26">
      <w:pPr>
        <w:rPr>
          <w:rFonts w:ascii="Times New Roman" w:hAnsi="Times New Roman" w:cs="Times New Roman"/>
        </w:rPr>
      </w:pPr>
    </w:p>
    <w:p w14:paraId="06642E99" w14:textId="77777777" w:rsidR="005F03D7" w:rsidRPr="00A53D1B" w:rsidRDefault="005F03D7" w:rsidP="00EC4F26">
      <w:pPr>
        <w:rPr>
          <w:rFonts w:ascii="Times New Roman" w:hAnsi="Times New Roman" w:cs="Times New Roman"/>
          <w:b/>
          <w:bCs/>
          <w:sz w:val="28"/>
          <w:szCs w:val="28"/>
        </w:rPr>
      </w:pPr>
    </w:p>
    <w:p w14:paraId="0AD2CB2A" w14:textId="77777777" w:rsidR="005F03D7" w:rsidRPr="00A53D1B" w:rsidRDefault="005F03D7" w:rsidP="00EC4F26">
      <w:pPr>
        <w:rPr>
          <w:rFonts w:ascii="Times New Roman" w:hAnsi="Times New Roman" w:cs="Times New Roman"/>
          <w:b/>
          <w:bCs/>
          <w:sz w:val="28"/>
          <w:szCs w:val="28"/>
        </w:rPr>
      </w:pPr>
    </w:p>
    <w:p w14:paraId="55D0763A" w14:textId="77777777" w:rsidR="005F03D7" w:rsidRPr="00A53D1B" w:rsidRDefault="005F03D7" w:rsidP="00EC4F26">
      <w:pPr>
        <w:rPr>
          <w:rFonts w:ascii="Times New Roman" w:hAnsi="Times New Roman" w:cs="Times New Roman"/>
          <w:b/>
          <w:bCs/>
          <w:sz w:val="28"/>
          <w:szCs w:val="28"/>
        </w:rPr>
      </w:pPr>
    </w:p>
    <w:p w14:paraId="3DA3978E" w14:textId="53C8B4E4" w:rsidR="00EC4F26" w:rsidRPr="00EC4F26" w:rsidRDefault="00EC4F26" w:rsidP="00EC4F26">
      <w:pPr>
        <w:rPr>
          <w:rFonts w:ascii="Times New Roman" w:hAnsi="Times New Roman" w:cs="Times New Roman"/>
          <w:b/>
          <w:bCs/>
          <w:sz w:val="28"/>
          <w:szCs w:val="28"/>
        </w:rPr>
      </w:pPr>
      <w:r w:rsidRPr="00EC4F26">
        <w:rPr>
          <w:rFonts w:ascii="Times New Roman" w:hAnsi="Times New Roman" w:cs="Times New Roman"/>
          <w:b/>
          <w:bCs/>
          <w:sz w:val="28"/>
          <w:szCs w:val="28"/>
        </w:rPr>
        <w:lastRenderedPageBreak/>
        <w:t>Overview</w:t>
      </w:r>
    </w:p>
    <w:p w14:paraId="47F9E951" w14:textId="77777777" w:rsidR="00EC4F26" w:rsidRPr="00EC4F26" w:rsidRDefault="00EC4F26" w:rsidP="00EC4F26">
      <w:pPr>
        <w:rPr>
          <w:rFonts w:ascii="Times New Roman" w:hAnsi="Times New Roman" w:cs="Times New Roman"/>
        </w:rPr>
      </w:pPr>
      <w:r w:rsidRPr="00EC4F26">
        <w:rPr>
          <w:rFonts w:ascii="Times New Roman" w:hAnsi="Times New Roman" w:cs="Times New Roman"/>
        </w:rPr>
        <w:t>This document summarizes key concepts from Chapter 5 of "Expert Systems: Design and Development" by John Durkin (1994) and applies them to the development of a skin disease classification AI system.</w:t>
      </w:r>
    </w:p>
    <w:p w14:paraId="5978B43F" w14:textId="35E7C812" w:rsidR="00EC4F26" w:rsidRPr="00EC4F26" w:rsidRDefault="00EC4F26" w:rsidP="00EC4F26">
      <w:pPr>
        <w:rPr>
          <w:rFonts w:ascii="Times New Roman" w:hAnsi="Times New Roman" w:cs="Times New Roman"/>
        </w:rPr>
      </w:pPr>
    </w:p>
    <w:p w14:paraId="5CF7F11C"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1. Introduction to Knowledge Acquisition</w:t>
      </w:r>
    </w:p>
    <w:p w14:paraId="2EE9959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acquisition is the process of extracting, structuring, and organizing knowledge from domain experts and other sources to build an expert system's knowledge base. This represents one of the most critical and challenging phases in expert system development. The field faces several significant challenges that must be addressed for successful implementation. The knowledge extraction bottleneck refers to the inherent difficulty in transferring expert knowledge into a machine-readable format, as experts often struggle to articulate their decision-making processes in ways that can be directly encoded into computational systems. Communication gaps frequently emerge due to differences in terminology and perspectives between knowledge engineers, who understand computational structures, and domain experts, who think in terms of their clinical or professional expertise. Additionally, much of expert knowledge is tacit, meaning that experts apply their knowledge unconsciously through years of experience, making it extremely difficult to explicitly articulate the rules and heuristics they follow. Finally, knowledge validation presents ongoing challenges in ensuring that the extracted knowledge is accurate, complete, and consistent across different cases and scenarios.</w:t>
      </w:r>
    </w:p>
    <w:p w14:paraId="521BB6B6" w14:textId="18EF7208" w:rsidR="00A53D1B" w:rsidRPr="00A53D1B" w:rsidRDefault="00A53D1B" w:rsidP="00A53D1B">
      <w:pPr>
        <w:rPr>
          <w:rFonts w:ascii="Times New Roman" w:hAnsi="Times New Roman" w:cs="Times New Roman"/>
        </w:rPr>
      </w:pPr>
    </w:p>
    <w:p w14:paraId="0C3D588F"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2. Sources of Knowledge for Skin Disease Classification</w:t>
      </w:r>
    </w:p>
    <w:p w14:paraId="287B23C4"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for skin disease classification systems can be drawn from multiple primary sources, each offering unique perspectives and information types. Domain experts, including dermatologists with specialized expertise in skin disease diagnosis, pathologists who analyze skin tissue samples, and clinical practitioners with extensive patient experience, provide the foundational clinical knowledge that drives accurate diagnosis. These experts bring years of practical experience and nuanced understanding of disease presentations. Literature and documentation form another crucial source, encompassing medical textbooks and dermatology references that codify established knowledge, clinical guidelines and diagnostic criteria that standardize practice, and research publications that present the latest findings on skin disease characteristics and treatment approaches. Case studies and historical data provide real-world examples through patient medical records and case histories, diagnostic image databases such as the HAM10000 dataset, and treatment outcomes with follow-up data that reveal the progression and response patterns of various conditions.</w:t>
      </w:r>
    </w:p>
    <w:p w14:paraId="1717EA6D"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lastRenderedPageBreak/>
        <w:t xml:space="preserve">The HAM10000 dataset, as described by </w:t>
      </w:r>
      <w:proofErr w:type="spellStart"/>
      <w:r w:rsidRPr="00A53D1B">
        <w:rPr>
          <w:rFonts w:ascii="Times New Roman" w:hAnsi="Times New Roman" w:cs="Times New Roman"/>
        </w:rPr>
        <w:t>Tschandl</w:t>
      </w:r>
      <w:proofErr w:type="spellEnd"/>
      <w:r w:rsidRPr="00A53D1B">
        <w:rPr>
          <w:rFonts w:ascii="Times New Roman" w:hAnsi="Times New Roman" w:cs="Times New Roman"/>
        </w:rPr>
        <w:t xml:space="preserve"> and colleagues in 2018, serves as a particularly crucial knowledge source for modern skin disease AI systems. This comprehensive collection contains over 10,000 </w:t>
      </w:r>
      <w:proofErr w:type="spellStart"/>
      <w:r w:rsidRPr="00A53D1B">
        <w:rPr>
          <w:rFonts w:ascii="Times New Roman" w:hAnsi="Times New Roman" w:cs="Times New Roman"/>
        </w:rPr>
        <w:t>dermatoscopic</w:t>
      </w:r>
      <w:proofErr w:type="spellEnd"/>
      <w:r w:rsidRPr="00A53D1B">
        <w:rPr>
          <w:rFonts w:ascii="Times New Roman" w:hAnsi="Times New Roman" w:cs="Times New Roman"/>
        </w:rPr>
        <w:t xml:space="preserve"> images of common pigmented skin lesions gathered from multiple sources, providing the diverse examples necessary for training machine learning models and establishing reliable diagnostic patterns. The multi-source nature of this dataset ensures that the system can learn to recognize conditions across different imaging equipment, patient populations, and clinical settings, making it an invaluable resource for knowledge acquisition in this domain.</w:t>
      </w:r>
    </w:p>
    <w:p w14:paraId="0B89115F" w14:textId="060A8D60" w:rsidR="00A53D1B" w:rsidRPr="00A53D1B" w:rsidRDefault="00A53D1B" w:rsidP="00A53D1B">
      <w:pPr>
        <w:rPr>
          <w:rFonts w:ascii="Times New Roman" w:hAnsi="Times New Roman" w:cs="Times New Roman"/>
        </w:rPr>
      </w:pPr>
    </w:p>
    <w:p w14:paraId="246C1EB6"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3. Knowledge Acquisition Methods</w:t>
      </w:r>
    </w:p>
    <w:p w14:paraId="62E3049B"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The process of acquiring knowledge from experts requires careful application of various interview and observational techniques, each suited to extracting different types of information. Structured interviews employ predetermined questions following a specific format, which proves useful for gathering consistent information across multiple experts and ensuring comprehensive coverage of specific topics. For example, a structured interview might systematically ask each dermatologist, "What visual features distinguish melanoma from benign nevi?" to build a complete picture of diagnostic criteria. In contrast, unstructured interviews use open-ended discussions that allow experts to explain their reasoning in their own terms, capturing nuanced decision-making processes and revealing tacit knowledge through natural conversation that might not emerge from direct questioning. Protocol analysis represents a particularly valuable technique where experts "think aloud" while diagnosing actual cases, allowing the knowledge engineer to capture real-time reasoning and decision pathways as they unfold, providing insights into the expert's cognitive processes that might otherwise remain hidden.</w:t>
      </w:r>
    </w:p>
    <w:p w14:paraId="3A349C0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Observational methods complement interview techniques by revealing knowledge in action rather than in abstract description. Shadowing involves the knowledge engineer observing an expert during clinical practice, capturing contextual factors and environmental influences that affect decision-making, while also revealing workflow patterns and practical considerations that experts might not think to mention in an interview setting. Case analysis provides another powerful approach, involving the detailed review of specific diagnostic cases with expert commentary that identifies key decision points and reasoning strategies, proving particularly useful for understanding complex or atypical presentations where standard diagnostic criteria may need to be adapted or </w:t>
      </w:r>
      <w:proofErr w:type="gramStart"/>
      <w:r w:rsidRPr="00A53D1B">
        <w:rPr>
          <w:rFonts w:ascii="Times New Roman" w:hAnsi="Times New Roman" w:cs="Times New Roman"/>
        </w:rPr>
        <w:t>weighted</w:t>
      </w:r>
      <w:proofErr w:type="gramEnd"/>
      <w:r w:rsidRPr="00A53D1B">
        <w:rPr>
          <w:rFonts w:ascii="Times New Roman" w:hAnsi="Times New Roman" w:cs="Times New Roman"/>
        </w:rPr>
        <w:t xml:space="preserve"> differently based on subtle clinical indicators.</w:t>
      </w:r>
    </w:p>
    <w:p w14:paraId="0F51A935" w14:textId="2F572A6E" w:rsidR="00A53D1B" w:rsidRPr="00A53D1B" w:rsidRDefault="00A53D1B" w:rsidP="00A53D1B">
      <w:pPr>
        <w:rPr>
          <w:rFonts w:ascii="Times New Roman" w:hAnsi="Times New Roman" w:cs="Times New Roman"/>
        </w:rPr>
      </w:pPr>
    </w:p>
    <w:p w14:paraId="4AD51DBC"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4. Knowledge Representation</w:t>
      </w:r>
    </w:p>
    <w:p w14:paraId="6CE29A13"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Once knowledge has been acquired from experts and other sources, it must be represented in forms that computer systems can process and </w:t>
      </w:r>
      <w:proofErr w:type="gramStart"/>
      <w:r w:rsidRPr="00A53D1B">
        <w:rPr>
          <w:rFonts w:ascii="Times New Roman" w:hAnsi="Times New Roman" w:cs="Times New Roman"/>
        </w:rPr>
        <w:t>reason with</w:t>
      </w:r>
      <w:proofErr w:type="gramEnd"/>
      <w:r w:rsidRPr="00A53D1B">
        <w:rPr>
          <w:rFonts w:ascii="Times New Roman" w:hAnsi="Times New Roman" w:cs="Times New Roman"/>
        </w:rPr>
        <w:t xml:space="preserve"> effectively. Rules and heuristics </w:t>
      </w:r>
      <w:r w:rsidRPr="00A53D1B">
        <w:rPr>
          <w:rFonts w:ascii="Times New Roman" w:hAnsi="Times New Roman" w:cs="Times New Roman"/>
        </w:rPr>
        <w:lastRenderedPageBreak/>
        <w:t>provide one of the most intuitive forms of knowledge representation, encoding expert decision-making as IF-THEN statements. For example, in skin cancer detection, a rule might state that if a lesion exhibits asymmetry and has irregular borders and shows non-uniform coloration and measures greater than 6mm in diameter, then the system should suspect melanoma, encoding the well-known ABCD rule used by dermatologists. These rules capture the logical structure of diagnostic reasoning in a format that both experts and systems can understand and evaluate.</w:t>
      </w:r>
    </w:p>
    <w:p w14:paraId="4C3DB08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Semantic networks offer another powerful representation approach by showing relationships between skin diseases, symptoms, and diagnostic features as interconnected networks that illustrate both hierarchical relationships, such as melanoma being a type of skin cancer, and associative relationships, such as sun exposure being linked to various skin conditions. Frames and schemas provide structured representations that capture multiple attributes of skin conditions in organized templates. A disease frame for melanoma, for instance, would include its classification as a malignant condition in the skin cancer category, list its visual features such as asymmetry, irregular borders, and color variation, document risk factors including UV exposure, family history, and fair skin type, specify appropriate diagnostic tests like </w:t>
      </w:r>
      <w:proofErr w:type="spellStart"/>
      <w:r w:rsidRPr="00A53D1B">
        <w:rPr>
          <w:rFonts w:ascii="Times New Roman" w:hAnsi="Times New Roman" w:cs="Times New Roman"/>
        </w:rPr>
        <w:t>dermoscopy</w:t>
      </w:r>
      <w:proofErr w:type="spellEnd"/>
      <w:r w:rsidRPr="00A53D1B">
        <w:rPr>
          <w:rFonts w:ascii="Times New Roman" w:hAnsi="Times New Roman" w:cs="Times New Roman"/>
        </w:rPr>
        <w:t xml:space="preserve"> and biopsy, and outline treatment options ranging from surgical excision to immunotherapy. This structured approach ensures comprehensive representation of all relevant knowledge about each condition in a format that supports systematic reasoning.</w:t>
      </w:r>
    </w:p>
    <w:p w14:paraId="75A92A63" w14:textId="25B041BA" w:rsidR="00A53D1B" w:rsidRPr="00A53D1B" w:rsidRDefault="00A53D1B" w:rsidP="00A53D1B">
      <w:pPr>
        <w:rPr>
          <w:rFonts w:ascii="Times New Roman" w:hAnsi="Times New Roman" w:cs="Times New Roman"/>
        </w:rPr>
      </w:pPr>
    </w:p>
    <w:p w14:paraId="75CC1CE2"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5. Machine Learning and Deep Learning Integration</w:t>
      </w:r>
    </w:p>
    <w:p w14:paraId="327D134C"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Modern AI systems for skin disease classification have evolved to leverage machine learning and deep learning techniques that automate much of the knowledge extraction process, representing a significant advancement over traditional manual knowledge engineering. As documented by Ghosh and colleagues in 2024 and Kasula and colleagues in 2024, convolutional neural networks have become the foundation of automated knowledge extraction from medical images. These networks automatically learn visual features from </w:t>
      </w:r>
      <w:proofErr w:type="spellStart"/>
      <w:r w:rsidRPr="00A53D1B">
        <w:rPr>
          <w:rFonts w:ascii="Times New Roman" w:hAnsi="Times New Roman" w:cs="Times New Roman"/>
        </w:rPr>
        <w:t>dermoscopic</w:t>
      </w:r>
      <w:proofErr w:type="spellEnd"/>
      <w:r w:rsidRPr="00A53D1B">
        <w:rPr>
          <w:rFonts w:ascii="Times New Roman" w:hAnsi="Times New Roman" w:cs="Times New Roman"/>
        </w:rPr>
        <w:t xml:space="preserve"> images without requiring explicit programming of feature detection rules, extracting hierarchical patterns that progress from simple edges and textures at lower layers to complex structures and diagnostic indicators at higher layers. This approach dramatically reduces reliance on manual feature engineering and can discover subtle patterns that human experts might not consciously recognize. Transfer learning extends this capability by utilizing pre-trained models as a starting knowledge base, fine-tuning them on specific skin disease datasets to leverage knowledge originally extracted from millions of general images, allowing the system to benefit from broad visual understanding even when domain-specific training data is limited.</w:t>
      </w:r>
    </w:p>
    <w:p w14:paraId="035A149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The integration of machine learning introduces new challenges around interpretability, as deep neural networks often operate as "black boxes" whose decision-making processes are not immediately transparent. Explainable AI techniques address these concerns by making model reasoning visible and verifiable. Grad-CAM, as developed by Selvaraju and colleagues in 2017, </w:t>
      </w:r>
      <w:r w:rsidRPr="00A53D1B">
        <w:rPr>
          <w:rFonts w:ascii="Times New Roman" w:hAnsi="Times New Roman" w:cs="Times New Roman"/>
        </w:rPr>
        <w:lastRenderedPageBreak/>
        <w:t xml:space="preserve">provides visual explanations showing which regions of an image most influenced the classification decision, generating heat maps that highlight diagnostically relevant areas and enabling validation of model reasoning against established medical knowledge. The work of Dinev and </w:t>
      </w:r>
      <w:proofErr w:type="spellStart"/>
      <w:r w:rsidRPr="00A53D1B">
        <w:rPr>
          <w:rFonts w:ascii="Times New Roman" w:hAnsi="Times New Roman" w:cs="Times New Roman"/>
        </w:rPr>
        <w:t>Hajiarbabi</w:t>
      </w:r>
      <w:proofErr w:type="spellEnd"/>
      <w:r w:rsidRPr="00A53D1B">
        <w:rPr>
          <w:rFonts w:ascii="Times New Roman" w:hAnsi="Times New Roman" w:cs="Times New Roman"/>
        </w:rPr>
        <w:t xml:space="preserve"> in 2023 emphasizes the critical importance of balancing accuracy with interpretability in healthcare applications, noting that clinical trust and adoption depend on clinicians being able to understand and validate AI reasoning. Explainability also facilitates error detection and model improvement by allowing experts to identify cases where the system focuses on irrelevant features or misses important diagnostic indicators.</w:t>
      </w:r>
    </w:p>
    <w:p w14:paraId="31D3BCDE" w14:textId="1046CF12" w:rsidR="00A53D1B" w:rsidRPr="00A53D1B" w:rsidRDefault="00A53D1B" w:rsidP="00A53D1B">
      <w:pPr>
        <w:rPr>
          <w:rFonts w:ascii="Times New Roman" w:hAnsi="Times New Roman" w:cs="Times New Roman"/>
        </w:rPr>
      </w:pPr>
    </w:p>
    <w:p w14:paraId="23016159"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6. Domain-Specific Knowledge Categories</w:t>
      </w:r>
    </w:p>
    <w:p w14:paraId="07005EDD"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Building a comprehensive skin disease classification system requires acquiring specialized knowledge across multiple disease categories, each with distinct characteristics and diagnostic approaches. Bacterial skin infections represent one important category, drawing knowledge from clinical guidelines and medical references that describe common bacterial pathogens such as Staphylococcus and Streptococcus species, documenting their characteristic presentations, typical infection progression patterns, and key diagnostic indicators that distinguish bacterial infections from other skin conditions. This knowledge enables differential diagnosis that considers the full range of possible causes for similar-appearing symptoms.</w:t>
      </w:r>
    </w:p>
    <w:p w14:paraId="3443FB5C"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Genetic skin diseases constitute an emerging research area requiring highly specialized knowledge about molecular mechanisms and genetic mutations, as detailed in recent research published through Wiley Online Library in 2024. Understanding these conditions requires knowledge of genotype-phenotype correlations that link specific genetic variations to observable skin manifestations, as well as hereditary patterns that inform risk assessment based on family history. This category presents unique challenges due to the rarity of many genetic conditions and the complexity of genetic causation. Skin cancer represents a critical category with significant public health impact, requiring comprehensive knowledge that extends beyond purely visual diagnosis. Epidemiological data and statistics, such as those compiled by the American Academy of Dermatology in 2025, inform understanding of disease prevalence and risk stratification. Risk factors and prevention strategies, including sun safety guidelines published by the CDC, provide context for patient education and early intervention. Early detection criteria and screening protocols encode the knowledge necessary to identify potentially malignant lesions at stages when treatment is most effective.</w:t>
      </w:r>
    </w:p>
    <w:p w14:paraId="2F0EBF4E" w14:textId="2790EF4A" w:rsidR="00A53D1B" w:rsidRPr="00A53D1B" w:rsidRDefault="00A53D1B" w:rsidP="00A53D1B">
      <w:pPr>
        <w:rPr>
          <w:rFonts w:ascii="Times New Roman" w:hAnsi="Times New Roman" w:cs="Times New Roman"/>
        </w:rPr>
      </w:pPr>
    </w:p>
    <w:p w14:paraId="63CDE6BB"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7. Knowledge Validation and Refinement</w:t>
      </w:r>
    </w:p>
    <w:p w14:paraId="6D197424"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Acquiring knowledge represents only the beginning of the development process, as the knowledge base must undergo rigorous validation to ensure accuracy and reliability. Expert </w:t>
      </w:r>
      <w:r w:rsidRPr="00A53D1B">
        <w:rPr>
          <w:rFonts w:ascii="Times New Roman" w:hAnsi="Times New Roman" w:cs="Times New Roman"/>
        </w:rPr>
        <w:lastRenderedPageBreak/>
        <w:t>review forms the foundation of validation, involving domain experts who evaluate system recommendations against their clinical judgment, identify gaps, errors, or inconsistencies in the knowledge base, and compare system reasoning to expert thought processes to ensure alignment. This process often reveals subtle misunderstandings or oversimplifications that occurred during knowledge acquisition. Test case evaluation provides quantitative assessment by running the system on cases with established diagnoses, measuring performance metrics such as accuracy, sensitivity, and specificity, and identifying systematic errors or biases that might affect certain types of cases or patient populations. Cross-validation with multiple experts adds another layer of rigor by obtaining consensus among several dermatologists, resolving conflicting opinions through structured discussion, and establishing confidence levels for different diagnostic scenarios based on the degree of expert agreement.</w:t>
      </w:r>
    </w:p>
    <w:p w14:paraId="04896B9D"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acquisition and refinement must be understood as an iterative, ongoing process rather than a one-time effort. Systems must continuously incorporate new medical research and clinical findings as the field advances, update classification criteria based on emerging evidence about disease characteristics and optimal diagnostic approaches, refine rules and thresholds based on performance data collected during system operation, and expand coverage to include rare or newly identified conditions as they are characterized by the medical community. This continuous improvement cycle ensures that the system remains current with medical knowledge and adapts to changes in clinical practice and understanding.</w:t>
      </w:r>
    </w:p>
    <w:p w14:paraId="26F2141E" w14:textId="6A0650C4" w:rsidR="00A53D1B" w:rsidRPr="00A53D1B" w:rsidRDefault="00A53D1B" w:rsidP="00A53D1B">
      <w:pPr>
        <w:rPr>
          <w:rFonts w:ascii="Times New Roman" w:hAnsi="Times New Roman" w:cs="Times New Roman"/>
        </w:rPr>
      </w:pPr>
    </w:p>
    <w:p w14:paraId="2FFA9193"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8. Practical Considerations for Skin Disease AI Systems</w:t>
      </w:r>
    </w:p>
    <w:p w14:paraId="3AAF839A"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Successful implementation of skin disease classification systems requires careful attention to data quality and diversity considerations that fundamentally affect the knowledge the system can acquire and apply. Image quality standards must ensure consistent lighting and magnification across all training and diagnostic images, maintain proper focus and resolution sufficient to reveal diagnostic details, and follow standardized capture protocols that minimize technical variation unrelated to actual disease characteristics. Population diversity proves equally critical, requiring representation across different skin types and ethnicities to ensure the system performs equitably for all patients, coverage of age ranges and demographics that reflect real-world patient populations, and geographic diversity in data sources to capture regional variations in disease presentation and prevalence. Without this diversity, systems risk learning biases that limit their effectiveness or lead to disparate performance across patient groups.</w:t>
      </w:r>
    </w:p>
    <w:p w14:paraId="7A58848E"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Effective knowledge integration must synthesize multiple knowledge types that together provide comprehensive diagnostic capability. Visual knowledge encompasses morphological features such as shape, color, and texture that can be directly observed in images, spatial relationships and patterns that provide diagnostic context, and changes over time that reveal the evolution of lesions and response to treatment. Clinical knowledge adds essential context through patient history and risk factors that modify diagnostic probabilities, associated symptoms and </w:t>
      </w:r>
      <w:r w:rsidRPr="00A53D1B">
        <w:rPr>
          <w:rFonts w:ascii="Times New Roman" w:hAnsi="Times New Roman" w:cs="Times New Roman"/>
        </w:rPr>
        <w:lastRenderedPageBreak/>
        <w:t xml:space="preserve">complications that provide additional diagnostic clues, and information about response to previous treatments that </w:t>
      </w:r>
      <w:proofErr w:type="gramStart"/>
      <w:r w:rsidRPr="00A53D1B">
        <w:rPr>
          <w:rFonts w:ascii="Times New Roman" w:hAnsi="Times New Roman" w:cs="Times New Roman"/>
        </w:rPr>
        <w:t>narrows</w:t>
      </w:r>
      <w:proofErr w:type="gramEnd"/>
      <w:r w:rsidRPr="00A53D1B">
        <w:rPr>
          <w:rFonts w:ascii="Times New Roman" w:hAnsi="Times New Roman" w:cs="Times New Roman"/>
        </w:rPr>
        <w:t xml:space="preserve"> differential diagnosis. Contextual knowledge further refines interpretation by incorporating age-related disease prevalence that affects prior probabilities, geographic disease distribution that reflects environmental and genetic factors, and seasonal variations that influence the likelihood of certain conditions. Integrating these diverse knowledge types creates a more robust and clinically useful system than relying on visual information alone.</w:t>
      </w:r>
    </w:p>
    <w:p w14:paraId="30E24515" w14:textId="16C96E19" w:rsidR="00A53D1B" w:rsidRPr="00A53D1B" w:rsidRDefault="00A53D1B" w:rsidP="00A53D1B">
      <w:pPr>
        <w:rPr>
          <w:rFonts w:ascii="Times New Roman" w:hAnsi="Times New Roman" w:cs="Times New Roman"/>
          <w:sz w:val="28"/>
          <w:szCs w:val="28"/>
        </w:rPr>
      </w:pPr>
    </w:p>
    <w:p w14:paraId="7380F617"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9. Challenges and Future Directions</w:t>
      </w:r>
    </w:p>
    <w:p w14:paraId="356DCACA"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Despite significant advances in AI-based skin disease classification, several substantial challenges continue to limit system performance and clinical applicability. Rare disease coverage remains problematic due to the limited training data available for uncommon conditions, making it difficult for systems to learn reliable diagnostic patterns for diseases they have rarely encountered. Multi-modal integration presents both technical and conceptual challenges in effectively combining visual features from </w:t>
      </w:r>
      <w:proofErr w:type="spellStart"/>
      <w:r w:rsidRPr="00A53D1B">
        <w:rPr>
          <w:rFonts w:ascii="Times New Roman" w:hAnsi="Times New Roman" w:cs="Times New Roman"/>
        </w:rPr>
        <w:t>dermoscopic</w:t>
      </w:r>
      <w:proofErr w:type="spellEnd"/>
      <w:r w:rsidRPr="00A53D1B">
        <w:rPr>
          <w:rFonts w:ascii="Times New Roman" w:hAnsi="Times New Roman" w:cs="Times New Roman"/>
        </w:rPr>
        <w:t xml:space="preserve"> images with genetic data from molecular testing and clinical information from patient records and physical examination. Explainability continues to require attention as clinicians need to understand AI reasoning to trust and effectively use these systems, particularly when recommendations conflict with their initial clinical impressions. Generalization across diverse patient populations proves challenging when training data does not adequately represent all skin types, age groups, and genetic backgrounds, potentially leading to performance disparities. Continuous learning represents an ongoing challenge in developing mechanisms to update systems with new medical knowledge without forgetting previously learned patterns or introducing instabilities.</w:t>
      </w:r>
    </w:p>
    <w:p w14:paraId="500979BA"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Looking forward, several promising directions offer opportunities to address current limitations and expand system capabilities. Federated learning approaches enable training on distributed datasets from multiple institutions while preserving patient privacy, potentially providing access to much larger and more diverse training data. Multi-task learning architectures can simultaneously perform classification and severity assessment, potentially improving both tasks through shared representations while providing more complete diagnostic information. Interactive knowledge acquisition systems that learn from clinician feedback during routine use offer the potential for continuous improvement and adaptation to local practice patterns and patient populations. Integration with electronic health records provides access to comprehensive longitudinal patient data that can inform diagnostic reasoning and enable monitoring of disease progression and treatment response. Real-time knowledge update mechanisms could incorporate the latest research findings and clinical guidelines as they emerge, ensuring that systems remain current with evolving medical understanding. These advances promise to make AI systems increasingly valuable partners in clinical dermatology practice.</w:t>
      </w:r>
    </w:p>
    <w:p w14:paraId="168FC650" w14:textId="1F539B74" w:rsidR="00A53D1B" w:rsidRPr="00A53D1B" w:rsidRDefault="00A53D1B" w:rsidP="00A53D1B">
      <w:pPr>
        <w:rPr>
          <w:rFonts w:ascii="Times New Roman" w:hAnsi="Times New Roman" w:cs="Times New Roman"/>
        </w:rPr>
      </w:pPr>
    </w:p>
    <w:p w14:paraId="24B7BA90"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lastRenderedPageBreak/>
        <w:t>10. Conclusion</w:t>
      </w:r>
    </w:p>
    <w:p w14:paraId="377CF570"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acquisition for skin disease classification AI systems demands a comprehensive approach that synthesizes traditional expert system methodologies from Durkin's foundational framework with modern machine learning and deep learning techniques, drawing on diverse knowledge sources that include medical literature, curated datasets like HAM10000, and direct consultation with clinical experts, while maintaining rigorous validation and continuous refinement processes that ensure ongoing accuracy and clinical relevance. The ultimate success of these systems depends fundamentally on effectively bridging the gap between medical expertise, which is often tacit and context-dependent, and computational representation, which requires explicit and formal structures, while ensuring that systems maintain both high accuracy in their classifications and sufficient interpretability that clinicians can understand and trust their recommendations. This balance proves essential to support clinical decision-making effectively and ultimately improve patient outcomes through earlier detection, more consistent diagnosis, and more informed treatment selection across diverse patient populations and healthcare settings.</w:t>
      </w:r>
    </w:p>
    <w:p w14:paraId="795A4CC0" w14:textId="22CCE43B" w:rsidR="00EC4F26" w:rsidRPr="00EC4F26" w:rsidRDefault="00EC4F26" w:rsidP="00EC4F26">
      <w:pPr>
        <w:rPr>
          <w:rFonts w:ascii="Times New Roman" w:hAnsi="Times New Roman" w:cs="Times New Roman"/>
        </w:rPr>
      </w:pPr>
      <w:r w:rsidRPr="00EC4F26">
        <w:rPr>
          <w:rFonts w:ascii="Times New Roman" w:hAnsi="Times New Roman" w:cs="Times New Roman"/>
        </w:rPr>
        <w:t>.</w:t>
      </w:r>
    </w:p>
    <w:p w14:paraId="183F69AC" w14:textId="4229DE60" w:rsidR="00EC4F26" w:rsidRPr="00EC4F26" w:rsidRDefault="00EC4F26" w:rsidP="00EC4F26">
      <w:pPr>
        <w:rPr>
          <w:rFonts w:ascii="Times New Roman" w:hAnsi="Times New Roman" w:cs="Times New Roman"/>
        </w:rPr>
      </w:pPr>
    </w:p>
    <w:p w14:paraId="53C5B224" w14:textId="77777777" w:rsidR="00EC4F26" w:rsidRPr="00EC4F26" w:rsidRDefault="00EC4F26" w:rsidP="00EC4F26">
      <w:pPr>
        <w:rPr>
          <w:rFonts w:ascii="Times New Roman" w:hAnsi="Times New Roman" w:cs="Times New Roman"/>
          <w:b/>
          <w:bCs/>
          <w:sz w:val="28"/>
          <w:szCs w:val="28"/>
        </w:rPr>
      </w:pPr>
      <w:r w:rsidRPr="00EC4F26">
        <w:rPr>
          <w:rFonts w:ascii="Times New Roman" w:hAnsi="Times New Roman" w:cs="Times New Roman"/>
          <w:b/>
          <w:bCs/>
          <w:sz w:val="28"/>
          <w:szCs w:val="28"/>
        </w:rPr>
        <w:t>References</w:t>
      </w:r>
    </w:p>
    <w:p w14:paraId="624FF3EE"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 xml:space="preserve">American Academy of Dermatology. (2025). Skin cancer facts and statistics. </w:t>
      </w:r>
      <w:hyperlink r:id="rId5" w:history="1">
        <w:r w:rsidRPr="00EC4F26">
          <w:rPr>
            <w:rStyle w:val="Hyperlink"/>
            <w:rFonts w:ascii="Times New Roman" w:hAnsi="Times New Roman" w:cs="Times New Roman"/>
          </w:rPr>
          <w:t>https://www.aad.org/media/stats-skin-cancer</w:t>
        </w:r>
      </w:hyperlink>
    </w:p>
    <w:p w14:paraId="304DDE09"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 xml:space="preserve">Dinev, I., &amp; </w:t>
      </w:r>
      <w:proofErr w:type="spellStart"/>
      <w:r w:rsidRPr="00EC4F26">
        <w:rPr>
          <w:rFonts w:ascii="Times New Roman" w:hAnsi="Times New Roman" w:cs="Times New Roman"/>
        </w:rPr>
        <w:t>Hajiarbabi</w:t>
      </w:r>
      <w:proofErr w:type="spellEnd"/>
      <w:r w:rsidRPr="00EC4F26">
        <w:rPr>
          <w:rFonts w:ascii="Times New Roman" w:hAnsi="Times New Roman" w:cs="Times New Roman"/>
        </w:rPr>
        <w:t xml:space="preserve">, H. (2023). Explainable AI in healthcare: Balancing accuracy and interpretability. Cancers (MDPI), 15(4), 1183. </w:t>
      </w:r>
      <w:hyperlink r:id="rId6" w:history="1">
        <w:r w:rsidRPr="00EC4F26">
          <w:rPr>
            <w:rStyle w:val="Hyperlink"/>
            <w:rFonts w:ascii="Times New Roman" w:hAnsi="Times New Roman" w:cs="Times New Roman"/>
          </w:rPr>
          <w:t>https://www.mdpi.com/2072-6694/15/4/1183</w:t>
        </w:r>
      </w:hyperlink>
    </w:p>
    <w:p w14:paraId="364BBA5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Durkin, J. (1994). Expert systems: Design and development. Macmillan Publishing Company.</w:t>
      </w:r>
    </w:p>
    <w:p w14:paraId="12376E0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Ghosh, H., et al. (2024). A study on the application of machine learning and deep learning techniques for skin cancer detection. ResearchGate.</w:t>
      </w:r>
    </w:p>
    <w:p w14:paraId="7383AECB"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Kasula, B. Y., et al. (2024). Automated disease classification in dermatology leveraging deep learning for skin disorder recognition. IEEE Xplore.</w:t>
      </w:r>
    </w:p>
    <w:p w14:paraId="1DD595D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 xml:space="preserve">Selvaraju, R. R., Cogswell, M., Das, A., </w:t>
      </w:r>
      <w:proofErr w:type="spellStart"/>
      <w:r w:rsidRPr="00EC4F26">
        <w:rPr>
          <w:rFonts w:ascii="Times New Roman" w:hAnsi="Times New Roman" w:cs="Times New Roman"/>
        </w:rPr>
        <w:t>Vedantam</w:t>
      </w:r>
      <w:proofErr w:type="spellEnd"/>
      <w:r w:rsidRPr="00EC4F26">
        <w:rPr>
          <w:rFonts w:ascii="Times New Roman" w:hAnsi="Times New Roman" w:cs="Times New Roman"/>
        </w:rPr>
        <w:t>, R., Parikh, D., &amp; Batra, D. (2017). Grad-CAM: Visual explanations from deep networks via gradient-based localization. Proceedings of the IEEE International Conference on Computer Vision (ICCV), 618-626.</w:t>
      </w:r>
    </w:p>
    <w:p w14:paraId="25E10DFA" w14:textId="77777777" w:rsidR="00EC4F26" w:rsidRPr="00EC4F26" w:rsidRDefault="00EC4F26" w:rsidP="00A53D1B">
      <w:pPr>
        <w:ind w:left="720" w:hanging="720"/>
        <w:rPr>
          <w:rFonts w:ascii="Times New Roman" w:hAnsi="Times New Roman" w:cs="Times New Roman"/>
        </w:rPr>
      </w:pPr>
      <w:proofErr w:type="spellStart"/>
      <w:r w:rsidRPr="00EC4F26">
        <w:rPr>
          <w:rFonts w:ascii="Times New Roman" w:hAnsi="Times New Roman" w:cs="Times New Roman"/>
        </w:rPr>
        <w:t>Tschandl</w:t>
      </w:r>
      <w:proofErr w:type="spellEnd"/>
      <w:r w:rsidRPr="00EC4F26">
        <w:rPr>
          <w:rFonts w:ascii="Times New Roman" w:hAnsi="Times New Roman" w:cs="Times New Roman"/>
        </w:rPr>
        <w:t>, P., Rosendahl, C., &amp; Kittler, H. (2018). The HAM10000 dataset: A large collection of multi-</w:t>
      </w:r>
      <w:proofErr w:type="gramStart"/>
      <w:r w:rsidRPr="00EC4F26">
        <w:rPr>
          <w:rFonts w:ascii="Times New Roman" w:hAnsi="Times New Roman" w:cs="Times New Roman"/>
        </w:rPr>
        <w:t>source</w:t>
      </w:r>
      <w:proofErr w:type="gramEnd"/>
      <w:r w:rsidRPr="00EC4F26">
        <w:rPr>
          <w:rFonts w:ascii="Times New Roman" w:hAnsi="Times New Roman" w:cs="Times New Roman"/>
        </w:rPr>
        <w:t xml:space="preserve"> </w:t>
      </w:r>
      <w:proofErr w:type="spellStart"/>
      <w:r w:rsidRPr="00EC4F26">
        <w:rPr>
          <w:rFonts w:ascii="Times New Roman" w:hAnsi="Times New Roman" w:cs="Times New Roman"/>
        </w:rPr>
        <w:t>dermatoscopic</w:t>
      </w:r>
      <w:proofErr w:type="spellEnd"/>
      <w:r w:rsidRPr="00EC4F26">
        <w:rPr>
          <w:rFonts w:ascii="Times New Roman" w:hAnsi="Times New Roman" w:cs="Times New Roman"/>
        </w:rPr>
        <w:t xml:space="preserve"> images of common pigmented skin lesions. Scientific Data, 5(180161).</w:t>
      </w:r>
    </w:p>
    <w:p w14:paraId="45E1F94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lastRenderedPageBreak/>
        <w:t>Wiley Online Library. (2024). Genetic skin diseases: Review of mutations and molecular mechanisms. American Journal of Medical Genetics Part A.</w:t>
      </w:r>
    </w:p>
    <w:p w14:paraId="17F28309" w14:textId="77777777" w:rsidR="00EC4F26" w:rsidRPr="00A53D1B" w:rsidRDefault="00EC4F26">
      <w:pPr>
        <w:rPr>
          <w:rFonts w:ascii="Times New Roman" w:hAnsi="Times New Roman" w:cs="Times New Roman"/>
        </w:rPr>
      </w:pPr>
    </w:p>
    <w:sectPr w:rsidR="00EC4F26" w:rsidRPr="00A5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3AD"/>
    <w:multiLevelType w:val="multilevel"/>
    <w:tmpl w:val="EAC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3D64"/>
    <w:multiLevelType w:val="multilevel"/>
    <w:tmpl w:val="C6A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840B6"/>
    <w:multiLevelType w:val="multilevel"/>
    <w:tmpl w:val="B11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7ECD"/>
    <w:multiLevelType w:val="multilevel"/>
    <w:tmpl w:val="97C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80E3F"/>
    <w:multiLevelType w:val="multilevel"/>
    <w:tmpl w:val="6D3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3343E"/>
    <w:multiLevelType w:val="multilevel"/>
    <w:tmpl w:val="C3F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7762D"/>
    <w:multiLevelType w:val="multilevel"/>
    <w:tmpl w:val="D3C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91704"/>
    <w:multiLevelType w:val="multilevel"/>
    <w:tmpl w:val="343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C4138"/>
    <w:multiLevelType w:val="multilevel"/>
    <w:tmpl w:val="95B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4507B"/>
    <w:multiLevelType w:val="multilevel"/>
    <w:tmpl w:val="6BD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D2322"/>
    <w:multiLevelType w:val="multilevel"/>
    <w:tmpl w:val="1FE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37FA9"/>
    <w:multiLevelType w:val="multilevel"/>
    <w:tmpl w:val="71B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52298"/>
    <w:multiLevelType w:val="multilevel"/>
    <w:tmpl w:val="AAE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40D25"/>
    <w:multiLevelType w:val="multilevel"/>
    <w:tmpl w:val="E88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64E0D"/>
    <w:multiLevelType w:val="multilevel"/>
    <w:tmpl w:val="FA1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83119"/>
    <w:multiLevelType w:val="multilevel"/>
    <w:tmpl w:val="ACD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05CC5"/>
    <w:multiLevelType w:val="multilevel"/>
    <w:tmpl w:val="809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0763A"/>
    <w:multiLevelType w:val="multilevel"/>
    <w:tmpl w:val="C64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84B4B"/>
    <w:multiLevelType w:val="multilevel"/>
    <w:tmpl w:val="678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F1674"/>
    <w:multiLevelType w:val="multilevel"/>
    <w:tmpl w:val="38F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95543"/>
    <w:multiLevelType w:val="multilevel"/>
    <w:tmpl w:val="847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15F90"/>
    <w:multiLevelType w:val="multilevel"/>
    <w:tmpl w:val="D4C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A6DDB"/>
    <w:multiLevelType w:val="multilevel"/>
    <w:tmpl w:val="8B00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C59B1"/>
    <w:multiLevelType w:val="multilevel"/>
    <w:tmpl w:val="370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C13FC"/>
    <w:multiLevelType w:val="multilevel"/>
    <w:tmpl w:val="E2A6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E43E5"/>
    <w:multiLevelType w:val="multilevel"/>
    <w:tmpl w:val="EF5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77A96"/>
    <w:multiLevelType w:val="multilevel"/>
    <w:tmpl w:val="278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24527"/>
    <w:multiLevelType w:val="multilevel"/>
    <w:tmpl w:val="6EE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12758">
    <w:abstractNumId w:val="2"/>
  </w:num>
  <w:num w:numId="2" w16cid:durableId="22946188">
    <w:abstractNumId w:val="16"/>
  </w:num>
  <w:num w:numId="3" w16cid:durableId="1621951878">
    <w:abstractNumId w:val="9"/>
  </w:num>
  <w:num w:numId="4" w16cid:durableId="1831405859">
    <w:abstractNumId w:val="1"/>
  </w:num>
  <w:num w:numId="5" w16cid:durableId="493762354">
    <w:abstractNumId w:val="14"/>
  </w:num>
  <w:num w:numId="6" w16cid:durableId="1932928572">
    <w:abstractNumId w:val="12"/>
  </w:num>
  <w:num w:numId="7" w16cid:durableId="926379134">
    <w:abstractNumId w:val="3"/>
  </w:num>
  <w:num w:numId="8" w16cid:durableId="1616474392">
    <w:abstractNumId w:val="23"/>
  </w:num>
  <w:num w:numId="9" w16cid:durableId="1033772992">
    <w:abstractNumId w:val="18"/>
  </w:num>
  <w:num w:numId="10" w16cid:durableId="615676224">
    <w:abstractNumId w:val="8"/>
  </w:num>
  <w:num w:numId="11" w16cid:durableId="459885758">
    <w:abstractNumId w:val="19"/>
  </w:num>
  <w:num w:numId="12" w16cid:durableId="1174877271">
    <w:abstractNumId w:val="20"/>
  </w:num>
  <w:num w:numId="13" w16cid:durableId="993948790">
    <w:abstractNumId w:val="10"/>
  </w:num>
  <w:num w:numId="14" w16cid:durableId="2097045424">
    <w:abstractNumId w:val="4"/>
  </w:num>
  <w:num w:numId="15" w16cid:durableId="1617904389">
    <w:abstractNumId w:val="5"/>
  </w:num>
  <w:num w:numId="16" w16cid:durableId="709300381">
    <w:abstractNumId w:val="17"/>
  </w:num>
  <w:num w:numId="17" w16cid:durableId="576790605">
    <w:abstractNumId w:val="25"/>
  </w:num>
  <w:num w:numId="18" w16cid:durableId="953945829">
    <w:abstractNumId w:val="24"/>
  </w:num>
  <w:num w:numId="19" w16cid:durableId="1590848628">
    <w:abstractNumId w:val="6"/>
  </w:num>
  <w:num w:numId="20" w16cid:durableId="1976712186">
    <w:abstractNumId w:val="27"/>
  </w:num>
  <w:num w:numId="21" w16cid:durableId="1243563086">
    <w:abstractNumId w:val="7"/>
  </w:num>
  <w:num w:numId="22" w16cid:durableId="1069109788">
    <w:abstractNumId w:val="11"/>
  </w:num>
  <w:num w:numId="23" w16cid:durableId="279144430">
    <w:abstractNumId w:val="15"/>
  </w:num>
  <w:num w:numId="24" w16cid:durableId="1937058980">
    <w:abstractNumId w:val="21"/>
  </w:num>
  <w:num w:numId="25" w16cid:durableId="1474760327">
    <w:abstractNumId w:val="13"/>
  </w:num>
  <w:num w:numId="26" w16cid:durableId="1397513758">
    <w:abstractNumId w:val="0"/>
  </w:num>
  <w:num w:numId="27" w16cid:durableId="225340022">
    <w:abstractNumId w:val="22"/>
  </w:num>
  <w:num w:numId="28" w16cid:durableId="13324837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9B"/>
    <w:rsid w:val="00030D8A"/>
    <w:rsid w:val="00507F24"/>
    <w:rsid w:val="005F03D7"/>
    <w:rsid w:val="0080163C"/>
    <w:rsid w:val="008D615F"/>
    <w:rsid w:val="0093199C"/>
    <w:rsid w:val="00A307A8"/>
    <w:rsid w:val="00A53D1B"/>
    <w:rsid w:val="00B8019B"/>
    <w:rsid w:val="00EA25A1"/>
    <w:rsid w:val="00EC4F26"/>
    <w:rsid w:val="00ED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EA88"/>
  <w15:chartTrackingRefBased/>
  <w15:docId w15:val="{B0B5C7F2-16C4-467A-9D7C-2DE2760D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19B"/>
  </w:style>
  <w:style w:type="paragraph" w:styleId="Heading1">
    <w:name w:val="heading 1"/>
    <w:basedOn w:val="Normal"/>
    <w:next w:val="Normal"/>
    <w:link w:val="Heading1Char"/>
    <w:uiPriority w:val="9"/>
    <w:qFormat/>
    <w:rsid w:val="00B80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9B"/>
    <w:rPr>
      <w:rFonts w:eastAsiaTheme="majorEastAsia" w:cstheme="majorBidi"/>
      <w:color w:val="272727" w:themeColor="text1" w:themeTint="D8"/>
    </w:rPr>
  </w:style>
  <w:style w:type="paragraph" w:styleId="Title">
    <w:name w:val="Title"/>
    <w:basedOn w:val="Normal"/>
    <w:next w:val="Normal"/>
    <w:link w:val="TitleChar"/>
    <w:uiPriority w:val="10"/>
    <w:qFormat/>
    <w:rsid w:val="00B8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9B"/>
    <w:pPr>
      <w:spacing w:before="160"/>
      <w:jc w:val="center"/>
    </w:pPr>
    <w:rPr>
      <w:i/>
      <w:iCs/>
      <w:color w:val="404040" w:themeColor="text1" w:themeTint="BF"/>
    </w:rPr>
  </w:style>
  <w:style w:type="character" w:customStyle="1" w:styleId="QuoteChar">
    <w:name w:val="Quote Char"/>
    <w:basedOn w:val="DefaultParagraphFont"/>
    <w:link w:val="Quote"/>
    <w:uiPriority w:val="29"/>
    <w:rsid w:val="00B8019B"/>
    <w:rPr>
      <w:i/>
      <w:iCs/>
      <w:color w:val="404040" w:themeColor="text1" w:themeTint="BF"/>
    </w:rPr>
  </w:style>
  <w:style w:type="paragraph" w:styleId="ListParagraph">
    <w:name w:val="List Paragraph"/>
    <w:basedOn w:val="Normal"/>
    <w:uiPriority w:val="34"/>
    <w:qFormat/>
    <w:rsid w:val="00B8019B"/>
    <w:pPr>
      <w:ind w:left="720"/>
      <w:contextualSpacing/>
    </w:pPr>
  </w:style>
  <w:style w:type="character" w:styleId="IntenseEmphasis">
    <w:name w:val="Intense Emphasis"/>
    <w:basedOn w:val="DefaultParagraphFont"/>
    <w:uiPriority w:val="21"/>
    <w:qFormat/>
    <w:rsid w:val="00B8019B"/>
    <w:rPr>
      <w:i/>
      <w:iCs/>
      <w:color w:val="0F4761" w:themeColor="accent1" w:themeShade="BF"/>
    </w:rPr>
  </w:style>
  <w:style w:type="paragraph" w:styleId="IntenseQuote">
    <w:name w:val="Intense Quote"/>
    <w:basedOn w:val="Normal"/>
    <w:next w:val="Normal"/>
    <w:link w:val="IntenseQuoteChar"/>
    <w:uiPriority w:val="30"/>
    <w:qFormat/>
    <w:rsid w:val="00B80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9B"/>
    <w:rPr>
      <w:i/>
      <w:iCs/>
      <w:color w:val="0F4761" w:themeColor="accent1" w:themeShade="BF"/>
    </w:rPr>
  </w:style>
  <w:style w:type="character" w:styleId="IntenseReference">
    <w:name w:val="Intense Reference"/>
    <w:basedOn w:val="DefaultParagraphFont"/>
    <w:uiPriority w:val="32"/>
    <w:qFormat/>
    <w:rsid w:val="00B8019B"/>
    <w:rPr>
      <w:b/>
      <w:bCs/>
      <w:smallCaps/>
      <w:color w:val="0F4761" w:themeColor="accent1" w:themeShade="BF"/>
      <w:spacing w:val="5"/>
    </w:rPr>
  </w:style>
  <w:style w:type="character" w:styleId="Hyperlink">
    <w:name w:val="Hyperlink"/>
    <w:basedOn w:val="DefaultParagraphFont"/>
    <w:uiPriority w:val="99"/>
    <w:unhideWhenUsed/>
    <w:rsid w:val="00EC4F26"/>
    <w:rPr>
      <w:color w:val="467886" w:themeColor="hyperlink"/>
      <w:u w:val="single"/>
    </w:rPr>
  </w:style>
  <w:style w:type="character" w:styleId="UnresolvedMention">
    <w:name w:val="Unresolved Mention"/>
    <w:basedOn w:val="DefaultParagraphFont"/>
    <w:uiPriority w:val="99"/>
    <w:semiHidden/>
    <w:unhideWhenUsed/>
    <w:rsid w:val="00EC4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2-6694/15/4/1183" TargetMode="External"/><Relationship Id="rId5" Type="http://schemas.openxmlformats.org/officeDocument/2006/relationships/hyperlink" Target="https://www.aad.org/media/stats-skin-canc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3209</Words>
  <Characters>18294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Yalamanchili</dc:creator>
  <cp:keywords/>
  <dc:description/>
  <cp:lastModifiedBy>Maddie Sidwell</cp:lastModifiedBy>
  <cp:revision>2</cp:revision>
  <dcterms:created xsi:type="dcterms:W3CDTF">2025-12-05T19:07:00Z</dcterms:created>
  <dcterms:modified xsi:type="dcterms:W3CDTF">2025-12-05T19:07:00Z</dcterms:modified>
</cp:coreProperties>
</file>