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DB366" w14:textId="77777777" w:rsidR="00105BDD" w:rsidRDefault="006F5BCB">
      <w:pPr>
        <w:tabs>
          <w:tab w:val="left" w:pos="8205"/>
        </w:tabs>
        <w:ind w:left="570"/>
        <w:rPr>
          <w:rFonts w:ascii="Times New Roman"/>
          <w:position w:val="21"/>
          <w:sz w:val="20"/>
        </w:rPr>
      </w:pPr>
      <w:r>
        <w:rPr>
          <w:rFonts w:ascii="Times New Roman"/>
          <w:noProof/>
          <w:sz w:val="20"/>
        </w:rPr>
        <w:drawing>
          <wp:inline distT="0" distB="0" distL="0" distR="0" wp14:anchorId="0B28B5AD" wp14:editId="33CE704F">
            <wp:extent cx="1355758" cy="6541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sz w:val="20"/>
        </w:rPr>
        <w:tab/>
      </w:r>
      <w:r>
        <w:rPr>
          <w:rFonts w:ascii="Times New Roman"/>
          <w:noProof/>
          <w:position w:val="21"/>
          <w:sz w:val="20"/>
        </w:rPr>
        <w:drawing>
          <wp:inline distT="0" distB="0" distL="0" distR="0" wp14:anchorId="11B764F6" wp14:editId="43A8F82D">
            <wp:extent cx="1073054" cy="49453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073054" cy="494538"/>
                    </a:xfrm>
                    <a:prstGeom prst="rect">
                      <a:avLst/>
                    </a:prstGeom>
                  </pic:spPr>
                </pic:pic>
              </a:graphicData>
            </a:graphic>
          </wp:inline>
        </w:drawing>
      </w:r>
    </w:p>
    <w:p w14:paraId="32D80E8C" w14:textId="77777777" w:rsidR="00105BDD" w:rsidRDefault="006F5BCB">
      <w:pPr>
        <w:pStyle w:val="Heading1"/>
      </w:pPr>
      <w:bookmarkStart w:id="0" w:name="Scalability_&amp;_Future_Plan_"/>
      <w:bookmarkEnd w:id="0"/>
      <w:r>
        <w:t>Scalability</w:t>
      </w:r>
      <w:r>
        <w:rPr>
          <w:spacing w:val="-6"/>
        </w:rPr>
        <w:t xml:space="preserve"> </w:t>
      </w:r>
      <w:r>
        <w:t>&amp;</w:t>
      </w:r>
      <w:r>
        <w:rPr>
          <w:spacing w:val="-6"/>
        </w:rPr>
        <w:t xml:space="preserve"> </w:t>
      </w:r>
      <w:r>
        <w:t>Future</w:t>
      </w:r>
      <w:r>
        <w:rPr>
          <w:spacing w:val="-6"/>
        </w:rPr>
        <w:t xml:space="preserve"> </w:t>
      </w:r>
      <w:r>
        <w:rPr>
          <w:spacing w:val="-4"/>
        </w:rPr>
        <w:t>Plan</w:t>
      </w:r>
    </w:p>
    <w:p w14:paraId="25B2D712" w14:textId="77777777" w:rsidR="00105BDD" w:rsidRDefault="00105BDD">
      <w:pPr>
        <w:pStyle w:val="BodyText"/>
        <w:spacing w:before="48"/>
        <w:rPr>
          <w:b/>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6820"/>
      </w:tblGrid>
      <w:tr w:rsidR="00105BDD" w14:paraId="4F7693F9" w14:textId="77777777">
        <w:trPr>
          <w:trHeight w:val="419"/>
        </w:trPr>
        <w:tc>
          <w:tcPr>
            <w:tcW w:w="2820" w:type="dxa"/>
          </w:tcPr>
          <w:p w14:paraId="58F18895" w14:textId="77777777" w:rsidR="00105BDD" w:rsidRDefault="006F5BCB">
            <w:pPr>
              <w:pStyle w:val="TableParagraph"/>
              <w:spacing w:before="111"/>
              <w:ind w:left="127"/>
              <w:rPr>
                <w:b/>
                <w:sz w:val="20"/>
              </w:rPr>
            </w:pPr>
            <w:r>
              <w:rPr>
                <w:b/>
                <w:spacing w:val="-4"/>
                <w:sz w:val="20"/>
              </w:rPr>
              <w:t>Date</w:t>
            </w:r>
          </w:p>
        </w:tc>
        <w:tc>
          <w:tcPr>
            <w:tcW w:w="6820" w:type="dxa"/>
          </w:tcPr>
          <w:p w14:paraId="45119B10" w14:textId="0BD0CE96" w:rsidR="00105BDD" w:rsidRDefault="00E738E8">
            <w:pPr>
              <w:pStyle w:val="TableParagraph"/>
              <w:spacing w:before="111"/>
              <w:ind w:left="143"/>
              <w:rPr>
                <w:sz w:val="20"/>
              </w:rPr>
            </w:pPr>
            <w:r>
              <w:rPr>
                <w:sz w:val="20"/>
              </w:rPr>
              <w:t xml:space="preserve">20 </w:t>
            </w:r>
            <w:proofErr w:type="spellStart"/>
            <w:r>
              <w:rPr>
                <w:sz w:val="20"/>
              </w:rPr>
              <w:t>october</w:t>
            </w:r>
            <w:proofErr w:type="spellEnd"/>
            <w:r w:rsidR="006F5BCB">
              <w:rPr>
                <w:spacing w:val="-3"/>
                <w:sz w:val="20"/>
              </w:rPr>
              <w:t xml:space="preserve"> </w:t>
            </w:r>
            <w:r w:rsidR="006F5BCB">
              <w:rPr>
                <w:spacing w:val="-4"/>
                <w:sz w:val="20"/>
              </w:rPr>
              <w:t>202</w:t>
            </w:r>
            <w:r>
              <w:rPr>
                <w:spacing w:val="-4"/>
                <w:sz w:val="20"/>
              </w:rPr>
              <w:t>6</w:t>
            </w:r>
          </w:p>
        </w:tc>
      </w:tr>
      <w:tr w:rsidR="00105BDD" w14:paraId="54BFBB42" w14:textId="77777777">
        <w:trPr>
          <w:trHeight w:val="420"/>
        </w:trPr>
        <w:tc>
          <w:tcPr>
            <w:tcW w:w="2820" w:type="dxa"/>
          </w:tcPr>
          <w:p w14:paraId="13178529" w14:textId="77777777" w:rsidR="00105BDD" w:rsidRDefault="006F5BCB">
            <w:pPr>
              <w:pStyle w:val="TableParagraph"/>
              <w:spacing w:before="106"/>
              <w:ind w:left="127"/>
              <w:rPr>
                <w:b/>
                <w:sz w:val="20"/>
              </w:rPr>
            </w:pPr>
            <w:r>
              <w:rPr>
                <w:b/>
                <w:spacing w:val="-2"/>
                <w:sz w:val="20"/>
              </w:rPr>
              <w:t>Team</w:t>
            </w:r>
            <w:r>
              <w:rPr>
                <w:b/>
                <w:spacing w:val="-12"/>
                <w:sz w:val="20"/>
              </w:rPr>
              <w:t xml:space="preserve"> </w:t>
            </w:r>
            <w:r>
              <w:rPr>
                <w:b/>
                <w:spacing w:val="-5"/>
                <w:sz w:val="20"/>
              </w:rPr>
              <w:t>ID</w:t>
            </w:r>
          </w:p>
        </w:tc>
        <w:tc>
          <w:tcPr>
            <w:tcW w:w="6820" w:type="dxa"/>
          </w:tcPr>
          <w:p w14:paraId="085C373C" w14:textId="6FFCAA80" w:rsidR="00105BDD" w:rsidRDefault="000B4592">
            <w:pPr>
              <w:pStyle w:val="TableParagraph"/>
              <w:spacing w:before="106"/>
              <w:ind w:left="143"/>
              <w:rPr>
                <w:sz w:val="20"/>
              </w:rPr>
            </w:pPr>
            <w:r>
              <w:rPr>
                <w:spacing w:val="-2"/>
                <w:sz w:val="20"/>
              </w:rPr>
              <w:t>-</w:t>
            </w:r>
          </w:p>
        </w:tc>
      </w:tr>
      <w:tr w:rsidR="00E429B0" w14:paraId="15D2F186" w14:textId="77777777">
        <w:trPr>
          <w:trHeight w:val="399"/>
        </w:trPr>
        <w:tc>
          <w:tcPr>
            <w:tcW w:w="2820" w:type="dxa"/>
          </w:tcPr>
          <w:p w14:paraId="5A7FB13C" w14:textId="77777777" w:rsidR="00E429B0" w:rsidRDefault="00E429B0" w:rsidP="00E429B0">
            <w:pPr>
              <w:pStyle w:val="TableParagraph"/>
              <w:spacing w:before="101"/>
              <w:ind w:left="127"/>
              <w:rPr>
                <w:b/>
                <w:sz w:val="20"/>
              </w:rPr>
            </w:pPr>
            <w:r>
              <w:rPr>
                <w:b/>
                <w:sz w:val="20"/>
              </w:rPr>
              <w:t>Project</w:t>
            </w:r>
            <w:r>
              <w:rPr>
                <w:b/>
                <w:spacing w:val="-7"/>
                <w:sz w:val="20"/>
              </w:rPr>
              <w:t xml:space="preserve"> </w:t>
            </w:r>
            <w:r>
              <w:rPr>
                <w:b/>
                <w:spacing w:val="-4"/>
                <w:sz w:val="20"/>
              </w:rPr>
              <w:t>Name</w:t>
            </w:r>
          </w:p>
        </w:tc>
        <w:tc>
          <w:tcPr>
            <w:tcW w:w="6820" w:type="dxa"/>
          </w:tcPr>
          <w:p w14:paraId="6FBF37F7" w14:textId="0798919B" w:rsidR="00E429B0" w:rsidRDefault="00575719" w:rsidP="00E429B0">
            <w:pPr>
              <w:pStyle w:val="TableParagraph"/>
              <w:spacing w:before="101"/>
              <w:ind w:left="143"/>
              <w:rPr>
                <w:sz w:val="20"/>
              </w:rPr>
            </w:pPr>
            <w:r w:rsidRPr="005E7A71">
              <w:t>Health360-Healthcare-Analytics</w:t>
            </w:r>
          </w:p>
        </w:tc>
      </w:tr>
      <w:tr w:rsidR="00E429B0" w14:paraId="1F17D9FA" w14:textId="77777777">
        <w:trPr>
          <w:trHeight w:val="420"/>
        </w:trPr>
        <w:tc>
          <w:tcPr>
            <w:tcW w:w="2820" w:type="dxa"/>
          </w:tcPr>
          <w:p w14:paraId="58885FA5" w14:textId="77777777" w:rsidR="00E429B0" w:rsidRDefault="00E429B0" w:rsidP="00E429B0">
            <w:pPr>
              <w:pStyle w:val="TableParagraph"/>
              <w:spacing w:before="116"/>
              <w:ind w:left="127"/>
              <w:rPr>
                <w:b/>
                <w:sz w:val="20"/>
              </w:rPr>
            </w:pPr>
            <w:r>
              <w:rPr>
                <w:b/>
                <w:sz w:val="20"/>
              </w:rPr>
              <w:t>Maximum</w:t>
            </w:r>
            <w:r>
              <w:rPr>
                <w:b/>
                <w:spacing w:val="-7"/>
                <w:sz w:val="20"/>
              </w:rPr>
              <w:t xml:space="preserve"> </w:t>
            </w:r>
            <w:r>
              <w:rPr>
                <w:b/>
                <w:spacing w:val="-2"/>
                <w:sz w:val="20"/>
              </w:rPr>
              <w:t>Marks</w:t>
            </w:r>
          </w:p>
        </w:tc>
        <w:tc>
          <w:tcPr>
            <w:tcW w:w="6820" w:type="dxa"/>
          </w:tcPr>
          <w:p w14:paraId="02CA1F1A" w14:textId="77777777" w:rsidR="00E429B0" w:rsidRDefault="00E429B0" w:rsidP="00E429B0">
            <w:pPr>
              <w:pStyle w:val="TableParagraph"/>
              <w:spacing w:before="116"/>
              <w:ind w:left="143"/>
              <w:rPr>
                <w:sz w:val="20"/>
              </w:rPr>
            </w:pPr>
            <w:r>
              <w:rPr>
                <w:sz w:val="20"/>
              </w:rPr>
              <w:t>1</w:t>
            </w:r>
            <w:r>
              <w:rPr>
                <w:spacing w:val="-1"/>
                <w:sz w:val="20"/>
              </w:rPr>
              <w:t xml:space="preserve"> </w:t>
            </w:r>
            <w:r>
              <w:rPr>
                <w:spacing w:val="-4"/>
                <w:sz w:val="20"/>
              </w:rPr>
              <w:t>Mark</w:t>
            </w:r>
          </w:p>
        </w:tc>
      </w:tr>
    </w:tbl>
    <w:p w14:paraId="711201C5" w14:textId="77777777" w:rsidR="00105BDD" w:rsidRDefault="00105BDD">
      <w:pPr>
        <w:pStyle w:val="BodyText"/>
        <w:spacing w:before="210"/>
        <w:rPr>
          <w:b/>
          <w:sz w:val="28"/>
        </w:rPr>
      </w:pPr>
    </w:p>
    <w:p w14:paraId="67C4C6C8" w14:textId="77777777" w:rsidR="00575719" w:rsidRPr="00575719" w:rsidRDefault="00575719" w:rsidP="00575719">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IN" w:eastAsia="en-IN"/>
        </w:rPr>
      </w:pPr>
      <w:bookmarkStart w:id="1" w:name="Scalability_&amp;_Future_Plan:_"/>
      <w:bookmarkEnd w:id="1"/>
      <w:r w:rsidRPr="00575719">
        <w:rPr>
          <w:rFonts w:ascii="Times New Roman" w:eastAsia="Times New Roman" w:hAnsi="Times New Roman" w:cs="Times New Roman"/>
          <w:b/>
          <w:bCs/>
          <w:kern w:val="36"/>
          <w:sz w:val="48"/>
          <w:szCs w:val="48"/>
          <w:lang w:val="en-IN" w:eastAsia="en-IN"/>
        </w:rPr>
        <w:t>Scalability &amp; Future Plan</w:t>
      </w:r>
    </w:p>
    <w:p w14:paraId="030AE211" w14:textId="77777777" w:rsidR="00575719" w:rsidRPr="00575719" w:rsidRDefault="00575719" w:rsidP="0057571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This document outlines how the Health360 project can be enhanced in the future to support larger healthcare datasets, more detailed analysis, improved dashboard performance, and additional analytical features. It identifies the limitations of the current Tableau Public solution and proposes a roadmap for future development.</w:t>
      </w:r>
    </w:p>
    <w:p w14:paraId="538F5FDF" w14:textId="77777777" w:rsidR="00575719" w:rsidRPr="00575719" w:rsidRDefault="00575719" w:rsidP="0057571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The current project uses a healthcare CSV dataset and Tableau Public to explore patterns related to heart disease, diabetes, and stroke. Future improvements will focus on data refresh, scalability, visualization performance, privacy, and expanded healthcare analytics.</w:t>
      </w:r>
    </w:p>
    <w:p w14:paraId="3E5DC29C" w14:textId="4DB07BA8" w:rsidR="00575719" w:rsidRPr="00575719" w:rsidRDefault="00575719" w:rsidP="00575719">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rPr>
      </w:pPr>
      <w:r w:rsidRPr="00575719">
        <w:rPr>
          <w:rFonts w:ascii="Times New Roman" w:eastAsia="Times New Roman" w:hAnsi="Times New Roman" w:cs="Times New Roman"/>
          <w:b/>
          <w:bCs/>
          <w:sz w:val="36"/>
          <w:szCs w:val="36"/>
          <w:lang w:val="en-IN" w:eastAsia="en-IN"/>
        </w:rPr>
        <w:t>Current System Limitations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3686"/>
        <w:gridCol w:w="4955"/>
        <w:gridCol w:w="1211"/>
      </w:tblGrid>
      <w:tr w:rsidR="00575719" w:rsidRPr="00575719" w14:paraId="500A0CA8" w14:textId="77777777" w:rsidTr="00575719">
        <w:trPr>
          <w:tblCellSpacing w:w="15" w:type="dxa"/>
        </w:trPr>
        <w:tc>
          <w:tcPr>
            <w:tcW w:w="0" w:type="auto"/>
            <w:vAlign w:val="center"/>
            <w:hideMark/>
          </w:tcPr>
          <w:p w14:paraId="2DFFA7ED" w14:textId="77777777" w:rsidR="00575719" w:rsidRPr="00575719" w:rsidRDefault="00575719" w:rsidP="00575719">
            <w:pPr>
              <w:widowControl/>
              <w:autoSpaceDE/>
              <w:autoSpaceDN/>
              <w:jc w:val="center"/>
              <w:rPr>
                <w:rFonts w:ascii="Times New Roman" w:eastAsia="Times New Roman" w:hAnsi="Times New Roman" w:cs="Times New Roman"/>
                <w:b/>
                <w:bCs/>
                <w:sz w:val="24"/>
                <w:szCs w:val="24"/>
                <w:lang w:val="en-IN" w:eastAsia="en-IN"/>
              </w:rPr>
            </w:pPr>
            <w:proofErr w:type="spellStart"/>
            <w:r w:rsidRPr="00575719">
              <w:rPr>
                <w:rFonts w:ascii="Times New Roman" w:eastAsia="Times New Roman" w:hAnsi="Times New Roman" w:cs="Times New Roman"/>
                <w:b/>
                <w:bCs/>
                <w:sz w:val="24"/>
                <w:szCs w:val="24"/>
                <w:lang w:val="en-IN" w:eastAsia="en-IN"/>
              </w:rPr>
              <w:t>S.No</w:t>
            </w:r>
            <w:proofErr w:type="spellEnd"/>
            <w:r w:rsidRPr="00575719">
              <w:rPr>
                <w:rFonts w:ascii="Times New Roman" w:eastAsia="Times New Roman" w:hAnsi="Times New Roman" w:cs="Times New Roman"/>
                <w:b/>
                <w:bCs/>
                <w:sz w:val="24"/>
                <w:szCs w:val="24"/>
                <w:lang w:val="en-IN" w:eastAsia="en-IN"/>
              </w:rPr>
              <w:t>.</w:t>
            </w:r>
          </w:p>
        </w:tc>
        <w:tc>
          <w:tcPr>
            <w:tcW w:w="0" w:type="auto"/>
            <w:vAlign w:val="center"/>
            <w:hideMark/>
          </w:tcPr>
          <w:p w14:paraId="43D9ECFD" w14:textId="77777777" w:rsidR="00575719" w:rsidRPr="00575719" w:rsidRDefault="00575719" w:rsidP="00575719">
            <w:pPr>
              <w:widowControl/>
              <w:autoSpaceDE/>
              <w:autoSpaceDN/>
              <w:jc w:val="center"/>
              <w:rPr>
                <w:rFonts w:ascii="Times New Roman" w:eastAsia="Times New Roman" w:hAnsi="Times New Roman" w:cs="Times New Roman"/>
                <w:b/>
                <w:bCs/>
                <w:sz w:val="24"/>
                <w:szCs w:val="24"/>
                <w:lang w:val="en-IN" w:eastAsia="en-IN"/>
              </w:rPr>
            </w:pPr>
            <w:r w:rsidRPr="00575719">
              <w:rPr>
                <w:rFonts w:ascii="Times New Roman" w:eastAsia="Times New Roman" w:hAnsi="Times New Roman" w:cs="Times New Roman"/>
                <w:b/>
                <w:bCs/>
                <w:sz w:val="24"/>
                <w:szCs w:val="24"/>
                <w:lang w:val="en-IN" w:eastAsia="en-IN"/>
              </w:rPr>
              <w:t>Limitation</w:t>
            </w:r>
          </w:p>
        </w:tc>
        <w:tc>
          <w:tcPr>
            <w:tcW w:w="0" w:type="auto"/>
            <w:vAlign w:val="center"/>
            <w:hideMark/>
          </w:tcPr>
          <w:p w14:paraId="1A65811A" w14:textId="77777777" w:rsidR="00575719" w:rsidRPr="00575719" w:rsidRDefault="00575719" w:rsidP="00575719">
            <w:pPr>
              <w:widowControl/>
              <w:autoSpaceDE/>
              <w:autoSpaceDN/>
              <w:jc w:val="center"/>
              <w:rPr>
                <w:rFonts w:ascii="Times New Roman" w:eastAsia="Times New Roman" w:hAnsi="Times New Roman" w:cs="Times New Roman"/>
                <w:b/>
                <w:bCs/>
                <w:sz w:val="24"/>
                <w:szCs w:val="24"/>
                <w:lang w:val="en-IN" w:eastAsia="en-IN"/>
              </w:rPr>
            </w:pPr>
            <w:r w:rsidRPr="00575719">
              <w:rPr>
                <w:rFonts w:ascii="Times New Roman" w:eastAsia="Times New Roman" w:hAnsi="Times New Roman" w:cs="Times New Roman"/>
                <w:b/>
                <w:bCs/>
                <w:sz w:val="24"/>
                <w:szCs w:val="24"/>
                <w:lang w:val="en-IN" w:eastAsia="en-IN"/>
              </w:rPr>
              <w:t>Impact</w:t>
            </w:r>
          </w:p>
        </w:tc>
        <w:tc>
          <w:tcPr>
            <w:tcW w:w="0" w:type="auto"/>
            <w:vAlign w:val="center"/>
            <w:hideMark/>
          </w:tcPr>
          <w:p w14:paraId="43167818" w14:textId="77777777" w:rsidR="00575719" w:rsidRPr="00575719" w:rsidRDefault="00575719" w:rsidP="00575719">
            <w:pPr>
              <w:widowControl/>
              <w:autoSpaceDE/>
              <w:autoSpaceDN/>
              <w:jc w:val="center"/>
              <w:rPr>
                <w:rFonts w:ascii="Times New Roman" w:eastAsia="Times New Roman" w:hAnsi="Times New Roman" w:cs="Times New Roman"/>
                <w:b/>
                <w:bCs/>
                <w:sz w:val="24"/>
                <w:szCs w:val="24"/>
                <w:lang w:val="en-IN" w:eastAsia="en-IN"/>
              </w:rPr>
            </w:pPr>
            <w:r w:rsidRPr="00575719">
              <w:rPr>
                <w:rFonts w:ascii="Times New Roman" w:eastAsia="Times New Roman" w:hAnsi="Times New Roman" w:cs="Times New Roman"/>
                <w:b/>
                <w:bCs/>
                <w:sz w:val="24"/>
                <w:szCs w:val="24"/>
                <w:lang w:val="en-IN" w:eastAsia="en-IN"/>
              </w:rPr>
              <w:t>Priority to Address</w:t>
            </w:r>
          </w:p>
        </w:tc>
      </w:tr>
      <w:tr w:rsidR="00575719" w:rsidRPr="00575719" w14:paraId="3DCA10C6" w14:textId="77777777" w:rsidTr="00575719">
        <w:trPr>
          <w:tblCellSpacing w:w="15" w:type="dxa"/>
        </w:trPr>
        <w:tc>
          <w:tcPr>
            <w:tcW w:w="0" w:type="auto"/>
            <w:vAlign w:val="center"/>
            <w:hideMark/>
          </w:tcPr>
          <w:p w14:paraId="2C945E00"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1</w:t>
            </w:r>
          </w:p>
        </w:tc>
        <w:tc>
          <w:tcPr>
            <w:tcW w:w="0" w:type="auto"/>
            <w:vAlign w:val="center"/>
            <w:hideMark/>
          </w:tcPr>
          <w:p w14:paraId="52E6FF17"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Data is currently sourced from a CSV file and requires manual updates when the source data changes.</w:t>
            </w:r>
          </w:p>
        </w:tc>
        <w:tc>
          <w:tcPr>
            <w:tcW w:w="0" w:type="auto"/>
            <w:vAlign w:val="center"/>
            <w:hideMark/>
          </w:tcPr>
          <w:p w14:paraId="02D4EE13"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Dashboard results may become outdated until the dataset is updated and the workbook is refreshed or republished as appropriate.</w:t>
            </w:r>
          </w:p>
        </w:tc>
        <w:tc>
          <w:tcPr>
            <w:tcW w:w="0" w:type="auto"/>
            <w:vAlign w:val="center"/>
            <w:hideMark/>
          </w:tcPr>
          <w:p w14:paraId="3DBE04C7"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High</w:t>
            </w:r>
          </w:p>
        </w:tc>
      </w:tr>
      <w:tr w:rsidR="00575719" w:rsidRPr="00575719" w14:paraId="73351EAE" w14:textId="77777777" w:rsidTr="00575719">
        <w:trPr>
          <w:tblCellSpacing w:w="15" w:type="dxa"/>
        </w:trPr>
        <w:tc>
          <w:tcPr>
            <w:tcW w:w="0" w:type="auto"/>
            <w:vAlign w:val="center"/>
            <w:hideMark/>
          </w:tcPr>
          <w:p w14:paraId="0BF25B8B"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2</w:t>
            </w:r>
          </w:p>
        </w:tc>
        <w:tc>
          <w:tcPr>
            <w:tcW w:w="0" w:type="auto"/>
            <w:vAlign w:val="center"/>
            <w:hideMark/>
          </w:tcPr>
          <w:p w14:paraId="6BAE8E47"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The project uses Tableau Public, which has limitations compared with managed enterprise analytics platforms.</w:t>
            </w:r>
          </w:p>
        </w:tc>
        <w:tc>
          <w:tcPr>
            <w:tcW w:w="0" w:type="auto"/>
            <w:vAlign w:val="center"/>
            <w:hideMark/>
          </w:tcPr>
          <w:p w14:paraId="22952F22"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Advanced access control, confidential-data handling, and enterprise-level administration may not be available in the same way as in paid or managed environments.</w:t>
            </w:r>
          </w:p>
        </w:tc>
        <w:tc>
          <w:tcPr>
            <w:tcW w:w="0" w:type="auto"/>
            <w:vAlign w:val="center"/>
            <w:hideMark/>
          </w:tcPr>
          <w:p w14:paraId="503DF036"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High</w:t>
            </w:r>
          </w:p>
        </w:tc>
      </w:tr>
      <w:tr w:rsidR="00575719" w:rsidRPr="00575719" w14:paraId="09287EFD" w14:textId="77777777" w:rsidTr="00575719">
        <w:trPr>
          <w:tblCellSpacing w:w="15" w:type="dxa"/>
        </w:trPr>
        <w:tc>
          <w:tcPr>
            <w:tcW w:w="0" w:type="auto"/>
            <w:vAlign w:val="center"/>
            <w:hideMark/>
          </w:tcPr>
          <w:p w14:paraId="57E6FBF6"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3</w:t>
            </w:r>
          </w:p>
        </w:tc>
        <w:tc>
          <w:tcPr>
            <w:tcW w:w="0" w:type="auto"/>
            <w:vAlign w:val="center"/>
            <w:hideMark/>
          </w:tcPr>
          <w:p w14:paraId="535CE4DB"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The current analysis depends on the size, quality, and available fields of a single dataset.</w:t>
            </w:r>
          </w:p>
        </w:tc>
        <w:tc>
          <w:tcPr>
            <w:tcW w:w="0" w:type="auto"/>
            <w:vAlign w:val="center"/>
            <w:hideMark/>
          </w:tcPr>
          <w:p w14:paraId="2DC49341"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The project may not capture broader population patterns, longitudinal changes, or all relevant clinical factors.</w:t>
            </w:r>
          </w:p>
        </w:tc>
        <w:tc>
          <w:tcPr>
            <w:tcW w:w="0" w:type="auto"/>
            <w:vAlign w:val="center"/>
            <w:hideMark/>
          </w:tcPr>
          <w:p w14:paraId="6951FB74"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Medium</w:t>
            </w:r>
          </w:p>
        </w:tc>
      </w:tr>
      <w:tr w:rsidR="00575719" w:rsidRPr="00575719" w14:paraId="7A991B8B" w14:textId="77777777" w:rsidTr="00575719">
        <w:trPr>
          <w:tblCellSpacing w:w="15" w:type="dxa"/>
        </w:trPr>
        <w:tc>
          <w:tcPr>
            <w:tcW w:w="0" w:type="auto"/>
            <w:vAlign w:val="center"/>
            <w:hideMark/>
          </w:tcPr>
          <w:p w14:paraId="719C6E53"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4</w:t>
            </w:r>
          </w:p>
        </w:tc>
        <w:tc>
          <w:tcPr>
            <w:tcW w:w="0" w:type="auto"/>
            <w:vAlign w:val="center"/>
            <w:hideMark/>
          </w:tcPr>
          <w:p w14:paraId="19414BC2"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Dashboard performance may be affected as the dataset and number of visualizations increase.</w:t>
            </w:r>
          </w:p>
        </w:tc>
        <w:tc>
          <w:tcPr>
            <w:tcW w:w="0" w:type="auto"/>
            <w:vAlign w:val="center"/>
            <w:hideMark/>
          </w:tcPr>
          <w:p w14:paraId="790410A3"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Loading, filtering, and interactive analysis may become slower with larger or more complex data.</w:t>
            </w:r>
          </w:p>
        </w:tc>
        <w:tc>
          <w:tcPr>
            <w:tcW w:w="0" w:type="auto"/>
            <w:vAlign w:val="center"/>
            <w:hideMark/>
          </w:tcPr>
          <w:p w14:paraId="2BFF4224"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Medium</w:t>
            </w:r>
          </w:p>
        </w:tc>
      </w:tr>
      <w:tr w:rsidR="00575719" w:rsidRPr="00575719" w14:paraId="67BE67A4" w14:textId="77777777" w:rsidTr="00575719">
        <w:trPr>
          <w:tblCellSpacing w:w="15" w:type="dxa"/>
        </w:trPr>
        <w:tc>
          <w:tcPr>
            <w:tcW w:w="0" w:type="auto"/>
            <w:vAlign w:val="center"/>
            <w:hideMark/>
          </w:tcPr>
          <w:p w14:paraId="5EC293BD"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5</w:t>
            </w:r>
          </w:p>
        </w:tc>
        <w:tc>
          <w:tcPr>
            <w:tcW w:w="0" w:type="auto"/>
            <w:vAlign w:val="center"/>
            <w:hideMark/>
          </w:tcPr>
          <w:p w14:paraId="69AA9765"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The current project focuses on exploratory visual analytics rather than predictive modelling or automated alerts.</w:t>
            </w:r>
          </w:p>
        </w:tc>
        <w:tc>
          <w:tcPr>
            <w:tcW w:w="0" w:type="auto"/>
            <w:vAlign w:val="center"/>
            <w:hideMark/>
          </w:tcPr>
          <w:p w14:paraId="507EE072"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It identifies patterns in available data but does not forecast future outcomes or provide automated monitoring.</w:t>
            </w:r>
          </w:p>
        </w:tc>
        <w:tc>
          <w:tcPr>
            <w:tcW w:w="0" w:type="auto"/>
            <w:vAlign w:val="center"/>
            <w:hideMark/>
          </w:tcPr>
          <w:p w14:paraId="2E755EB1"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Medium</w:t>
            </w:r>
          </w:p>
        </w:tc>
      </w:tr>
      <w:tr w:rsidR="00575719" w:rsidRPr="00575719" w14:paraId="0924356A" w14:textId="77777777" w:rsidTr="00575719">
        <w:trPr>
          <w:tblCellSpacing w:w="15" w:type="dxa"/>
        </w:trPr>
        <w:tc>
          <w:tcPr>
            <w:tcW w:w="0" w:type="auto"/>
            <w:vAlign w:val="center"/>
            <w:hideMark/>
          </w:tcPr>
          <w:p w14:paraId="0E9AF964"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lastRenderedPageBreak/>
              <w:t>6</w:t>
            </w:r>
          </w:p>
        </w:tc>
        <w:tc>
          <w:tcPr>
            <w:tcW w:w="0" w:type="auto"/>
            <w:vAlign w:val="center"/>
            <w:hideMark/>
          </w:tcPr>
          <w:p w14:paraId="6A5E19A3"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Data privacy and governance depend on the dataset being used and how it is published.</w:t>
            </w:r>
          </w:p>
        </w:tc>
        <w:tc>
          <w:tcPr>
            <w:tcW w:w="0" w:type="auto"/>
            <w:vAlign w:val="center"/>
            <w:hideMark/>
          </w:tcPr>
          <w:p w14:paraId="370A77C7"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Publishing identifiable or confidential patient information could create privacy and compliance risks.</w:t>
            </w:r>
          </w:p>
        </w:tc>
        <w:tc>
          <w:tcPr>
            <w:tcW w:w="0" w:type="auto"/>
            <w:vAlign w:val="center"/>
            <w:hideMark/>
          </w:tcPr>
          <w:p w14:paraId="27A1E6E9"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High</w:t>
            </w:r>
          </w:p>
        </w:tc>
      </w:tr>
    </w:tbl>
    <w:p w14:paraId="4D21E2E6" w14:textId="088FD3AD" w:rsidR="00575719" w:rsidRPr="00575719" w:rsidRDefault="00575719" w:rsidP="00575719">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rPr>
      </w:pPr>
      <w:r w:rsidRPr="00575719">
        <w:rPr>
          <w:rFonts w:ascii="Times New Roman" w:eastAsia="Times New Roman" w:hAnsi="Times New Roman" w:cs="Times New Roman"/>
          <w:b/>
          <w:bCs/>
          <w:sz w:val="36"/>
          <w:szCs w:val="36"/>
          <w:lang w:val="en-IN" w:eastAsia="en-IN"/>
        </w:rPr>
        <w:t>Scalability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515"/>
        <w:gridCol w:w="3330"/>
        <w:gridCol w:w="5007"/>
      </w:tblGrid>
      <w:tr w:rsidR="00575719" w:rsidRPr="00575719" w14:paraId="325C9A6D" w14:textId="77777777" w:rsidTr="00575719">
        <w:trPr>
          <w:tblCellSpacing w:w="15" w:type="dxa"/>
        </w:trPr>
        <w:tc>
          <w:tcPr>
            <w:tcW w:w="0" w:type="auto"/>
            <w:vAlign w:val="center"/>
            <w:hideMark/>
          </w:tcPr>
          <w:p w14:paraId="280A5EA8" w14:textId="77777777" w:rsidR="00575719" w:rsidRPr="00575719" w:rsidRDefault="00575719" w:rsidP="00575719">
            <w:pPr>
              <w:widowControl/>
              <w:autoSpaceDE/>
              <w:autoSpaceDN/>
              <w:jc w:val="center"/>
              <w:rPr>
                <w:rFonts w:ascii="Times New Roman" w:eastAsia="Times New Roman" w:hAnsi="Times New Roman" w:cs="Times New Roman"/>
                <w:b/>
                <w:bCs/>
                <w:sz w:val="24"/>
                <w:szCs w:val="24"/>
                <w:lang w:val="en-IN" w:eastAsia="en-IN"/>
              </w:rPr>
            </w:pPr>
            <w:proofErr w:type="spellStart"/>
            <w:r w:rsidRPr="00575719">
              <w:rPr>
                <w:rFonts w:ascii="Times New Roman" w:eastAsia="Times New Roman" w:hAnsi="Times New Roman" w:cs="Times New Roman"/>
                <w:b/>
                <w:bCs/>
                <w:sz w:val="24"/>
                <w:szCs w:val="24"/>
                <w:lang w:val="en-IN" w:eastAsia="en-IN"/>
              </w:rPr>
              <w:t>S.No</w:t>
            </w:r>
            <w:proofErr w:type="spellEnd"/>
            <w:r w:rsidRPr="00575719">
              <w:rPr>
                <w:rFonts w:ascii="Times New Roman" w:eastAsia="Times New Roman" w:hAnsi="Times New Roman" w:cs="Times New Roman"/>
                <w:b/>
                <w:bCs/>
                <w:sz w:val="24"/>
                <w:szCs w:val="24"/>
                <w:lang w:val="en-IN" w:eastAsia="en-IN"/>
              </w:rPr>
              <w:t>.</w:t>
            </w:r>
          </w:p>
        </w:tc>
        <w:tc>
          <w:tcPr>
            <w:tcW w:w="0" w:type="auto"/>
            <w:vAlign w:val="center"/>
            <w:hideMark/>
          </w:tcPr>
          <w:p w14:paraId="30DE295A" w14:textId="77777777" w:rsidR="00575719" w:rsidRPr="00575719" w:rsidRDefault="00575719" w:rsidP="00575719">
            <w:pPr>
              <w:widowControl/>
              <w:autoSpaceDE/>
              <w:autoSpaceDN/>
              <w:jc w:val="center"/>
              <w:rPr>
                <w:rFonts w:ascii="Times New Roman" w:eastAsia="Times New Roman" w:hAnsi="Times New Roman" w:cs="Times New Roman"/>
                <w:b/>
                <w:bCs/>
                <w:sz w:val="24"/>
                <w:szCs w:val="24"/>
                <w:lang w:val="en-IN" w:eastAsia="en-IN"/>
              </w:rPr>
            </w:pPr>
            <w:r w:rsidRPr="00575719">
              <w:rPr>
                <w:rFonts w:ascii="Times New Roman" w:eastAsia="Times New Roman" w:hAnsi="Times New Roman" w:cs="Times New Roman"/>
                <w:b/>
                <w:bCs/>
                <w:sz w:val="24"/>
                <w:szCs w:val="24"/>
                <w:lang w:val="en-IN" w:eastAsia="en-IN"/>
              </w:rPr>
              <w:t>Scalability Aspect</w:t>
            </w:r>
          </w:p>
        </w:tc>
        <w:tc>
          <w:tcPr>
            <w:tcW w:w="0" w:type="auto"/>
            <w:vAlign w:val="center"/>
            <w:hideMark/>
          </w:tcPr>
          <w:p w14:paraId="55E51EC3" w14:textId="77777777" w:rsidR="00575719" w:rsidRPr="00575719" w:rsidRDefault="00575719" w:rsidP="00575719">
            <w:pPr>
              <w:widowControl/>
              <w:autoSpaceDE/>
              <w:autoSpaceDN/>
              <w:jc w:val="center"/>
              <w:rPr>
                <w:rFonts w:ascii="Times New Roman" w:eastAsia="Times New Roman" w:hAnsi="Times New Roman" w:cs="Times New Roman"/>
                <w:b/>
                <w:bCs/>
                <w:sz w:val="24"/>
                <w:szCs w:val="24"/>
                <w:lang w:val="en-IN" w:eastAsia="en-IN"/>
              </w:rPr>
            </w:pPr>
            <w:r w:rsidRPr="00575719">
              <w:rPr>
                <w:rFonts w:ascii="Times New Roman" w:eastAsia="Times New Roman" w:hAnsi="Times New Roman" w:cs="Times New Roman"/>
                <w:b/>
                <w:bCs/>
                <w:sz w:val="24"/>
                <w:szCs w:val="24"/>
                <w:lang w:val="en-IN" w:eastAsia="en-IN"/>
              </w:rPr>
              <w:t>Current State</w:t>
            </w:r>
          </w:p>
        </w:tc>
        <w:tc>
          <w:tcPr>
            <w:tcW w:w="0" w:type="auto"/>
            <w:vAlign w:val="center"/>
            <w:hideMark/>
          </w:tcPr>
          <w:p w14:paraId="51D9FA1A" w14:textId="77777777" w:rsidR="00575719" w:rsidRPr="00575719" w:rsidRDefault="00575719" w:rsidP="00575719">
            <w:pPr>
              <w:widowControl/>
              <w:autoSpaceDE/>
              <w:autoSpaceDN/>
              <w:jc w:val="center"/>
              <w:rPr>
                <w:rFonts w:ascii="Times New Roman" w:eastAsia="Times New Roman" w:hAnsi="Times New Roman" w:cs="Times New Roman"/>
                <w:b/>
                <w:bCs/>
                <w:sz w:val="24"/>
                <w:szCs w:val="24"/>
                <w:lang w:val="en-IN" w:eastAsia="en-IN"/>
              </w:rPr>
            </w:pPr>
            <w:r w:rsidRPr="00575719">
              <w:rPr>
                <w:rFonts w:ascii="Times New Roman" w:eastAsia="Times New Roman" w:hAnsi="Times New Roman" w:cs="Times New Roman"/>
                <w:b/>
                <w:bCs/>
                <w:sz w:val="24"/>
                <w:szCs w:val="24"/>
                <w:lang w:val="en-IN" w:eastAsia="en-IN"/>
              </w:rPr>
              <w:t>Proposed Upgrade / Solution</w:t>
            </w:r>
          </w:p>
        </w:tc>
      </w:tr>
      <w:tr w:rsidR="00575719" w:rsidRPr="00575719" w14:paraId="4119F42C" w14:textId="77777777" w:rsidTr="00575719">
        <w:trPr>
          <w:tblCellSpacing w:w="15" w:type="dxa"/>
        </w:trPr>
        <w:tc>
          <w:tcPr>
            <w:tcW w:w="0" w:type="auto"/>
            <w:vAlign w:val="center"/>
            <w:hideMark/>
          </w:tcPr>
          <w:p w14:paraId="259D1F6A"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1</w:t>
            </w:r>
          </w:p>
        </w:tc>
        <w:tc>
          <w:tcPr>
            <w:tcW w:w="0" w:type="auto"/>
            <w:vAlign w:val="center"/>
            <w:hideMark/>
          </w:tcPr>
          <w:p w14:paraId="17CAFADB"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Data Volume</w:t>
            </w:r>
          </w:p>
        </w:tc>
        <w:tc>
          <w:tcPr>
            <w:tcW w:w="0" w:type="auto"/>
            <w:vAlign w:val="center"/>
            <w:hideMark/>
          </w:tcPr>
          <w:p w14:paraId="610652C3"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Analysis is based on a CSV dataset connected to Tableau Public.</w:t>
            </w:r>
          </w:p>
        </w:tc>
        <w:tc>
          <w:tcPr>
            <w:tcW w:w="0" w:type="auto"/>
            <w:vAlign w:val="center"/>
            <w:hideMark/>
          </w:tcPr>
          <w:p w14:paraId="4AA1ED50"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Evaluate larger datasets and, if needed, move data preparation to a suitable database or data warehouse before connecting the analytical output to an appropriate Tableau environment.</w:t>
            </w:r>
          </w:p>
        </w:tc>
      </w:tr>
      <w:tr w:rsidR="00575719" w:rsidRPr="00575719" w14:paraId="03539788" w14:textId="77777777" w:rsidTr="00575719">
        <w:trPr>
          <w:tblCellSpacing w:w="15" w:type="dxa"/>
        </w:trPr>
        <w:tc>
          <w:tcPr>
            <w:tcW w:w="0" w:type="auto"/>
            <w:vAlign w:val="center"/>
            <w:hideMark/>
          </w:tcPr>
          <w:p w14:paraId="1BB91B39"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2</w:t>
            </w:r>
          </w:p>
        </w:tc>
        <w:tc>
          <w:tcPr>
            <w:tcW w:w="0" w:type="auto"/>
            <w:vAlign w:val="center"/>
            <w:hideMark/>
          </w:tcPr>
          <w:p w14:paraId="27560804"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Data Refresh</w:t>
            </w:r>
          </w:p>
        </w:tc>
        <w:tc>
          <w:tcPr>
            <w:tcW w:w="0" w:type="auto"/>
            <w:vAlign w:val="center"/>
            <w:hideMark/>
          </w:tcPr>
          <w:p w14:paraId="2A7E3EAC"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Updates depend on the available CSV and the workbook's data-refresh workflow.</w:t>
            </w:r>
          </w:p>
        </w:tc>
        <w:tc>
          <w:tcPr>
            <w:tcW w:w="0" w:type="auto"/>
            <w:vAlign w:val="center"/>
            <w:hideMark/>
          </w:tcPr>
          <w:p w14:paraId="48370F52"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Establish a documented refresh process. For regularly updated data, consider a supported database connection or automated data pipeline in a suitable platform.</w:t>
            </w:r>
          </w:p>
        </w:tc>
      </w:tr>
      <w:tr w:rsidR="00575719" w:rsidRPr="00575719" w14:paraId="3A06C35E" w14:textId="77777777" w:rsidTr="00575719">
        <w:trPr>
          <w:tblCellSpacing w:w="15" w:type="dxa"/>
        </w:trPr>
        <w:tc>
          <w:tcPr>
            <w:tcW w:w="0" w:type="auto"/>
            <w:vAlign w:val="center"/>
            <w:hideMark/>
          </w:tcPr>
          <w:p w14:paraId="38E8EE9C"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3</w:t>
            </w:r>
          </w:p>
        </w:tc>
        <w:tc>
          <w:tcPr>
            <w:tcW w:w="0" w:type="auto"/>
            <w:vAlign w:val="center"/>
            <w:hideMark/>
          </w:tcPr>
          <w:p w14:paraId="5B16A4F9"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Performance</w:t>
            </w:r>
          </w:p>
        </w:tc>
        <w:tc>
          <w:tcPr>
            <w:tcW w:w="0" w:type="auto"/>
            <w:vAlign w:val="center"/>
            <w:hideMark/>
          </w:tcPr>
          <w:p w14:paraId="0EC3CE2F"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Performance depends on the dataset size, calculations, and dashboard design.</w:t>
            </w:r>
          </w:p>
        </w:tc>
        <w:tc>
          <w:tcPr>
            <w:tcW w:w="0" w:type="auto"/>
            <w:vAlign w:val="center"/>
            <w:hideMark/>
          </w:tcPr>
          <w:p w14:paraId="08C99FDE"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Reduce unnecessary worksheets and calculations, optimize filters, simplify complex views, and evaluate extract or data-source options supported by the chosen Tableau environment.</w:t>
            </w:r>
          </w:p>
        </w:tc>
      </w:tr>
      <w:tr w:rsidR="00575719" w:rsidRPr="00575719" w14:paraId="72B93114" w14:textId="77777777" w:rsidTr="00575719">
        <w:trPr>
          <w:tblCellSpacing w:w="15" w:type="dxa"/>
        </w:trPr>
        <w:tc>
          <w:tcPr>
            <w:tcW w:w="0" w:type="auto"/>
            <w:vAlign w:val="center"/>
            <w:hideMark/>
          </w:tcPr>
          <w:p w14:paraId="3081BE12"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4</w:t>
            </w:r>
          </w:p>
        </w:tc>
        <w:tc>
          <w:tcPr>
            <w:tcW w:w="0" w:type="auto"/>
            <w:vAlign w:val="center"/>
            <w:hideMark/>
          </w:tcPr>
          <w:p w14:paraId="7C6598F8"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Security and Privacy</w:t>
            </w:r>
          </w:p>
        </w:tc>
        <w:tc>
          <w:tcPr>
            <w:tcW w:w="0" w:type="auto"/>
            <w:vAlign w:val="center"/>
            <w:hideMark/>
          </w:tcPr>
          <w:p w14:paraId="60AA5987"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The current project is intended for exploratory analysis using an appropriate project dataset.</w:t>
            </w:r>
          </w:p>
        </w:tc>
        <w:tc>
          <w:tcPr>
            <w:tcW w:w="0" w:type="auto"/>
            <w:vAlign w:val="center"/>
            <w:hideMark/>
          </w:tcPr>
          <w:p w14:paraId="02397E91"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Use de-identified data, remove direct identifiers, restrict access to sensitive source files, and select a platform with suitable access controls before handling confidential healthcare information.</w:t>
            </w:r>
          </w:p>
        </w:tc>
      </w:tr>
      <w:tr w:rsidR="00575719" w:rsidRPr="00575719" w14:paraId="4AC35832" w14:textId="77777777" w:rsidTr="00575719">
        <w:trPr>
          <w:tblCellSpacing w:w="15" w:type="dxa"/>
        </w:trPr>
        <w:tc>
          <w:tcPr>
            <w:tcW w:w="0" w:type="auto"/>
            <w:vAlign w:val="center"/>
            <w:hideMark/>
          </w:tcPr>
          <w:p w14:paraId="459CB325"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5</w:t>
            </w:r>
          </w:p>
        </w:tc>
        <w:tc>
          <w:tcPr>
            <w:tcW w:w="0" w:type="auto"/>
            <w:vAlign w:val="center"/>
            <w:hideMark/>
          </w:tcPr>
          <w:p w14:paraId="27916BFC"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Analytical Capabilities</w:t>
            </w:r>
          </w:p>
        </w:tc>
        <w:tc>
          <w:tcPr>
            <w:tcW w:w="0" w:type="auto"/>
            <w:vAlign w:val="center"/>
            <w:hideMark/>
          </w:tcPr>
          <w:p w14:paraId="10E85859"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The project explores disease outcomes and available demographic, clinical, and lifestyle characteristics.</w:t>
            </w:r>
          </w:p>
        </w:tc>
        <w:tc>
          <w:tcPr>
            <w:tcW w:w="0" w:type="auto"/>
            <w:vAlign w:val="center"/>
            <w:hideMark/>
          </w:tcPr>
          <w:p w14:paraId="3C9211D8"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Add more relevant variables, compare multiple datasets where appropriate, and explore longitudinal or predictive analysis if sufficient validated data is available.</w:t>
            </w:r>
          </w:p>
        </w:tc>
      </w:tr>
      <w:tr w:rsidR="00575719" w:rsidRPr="00575719" w14:paraId="7F710683" w14:textId="77777777" w:rsidTr="00575719">
        <w:trPr>
          <w:tblCellSpacing w:w="15" w:type="dxa"/>
        </w:trPr>
        <w:tc>
          <w:tcPr>
            <w:tcW w:w="0" w:type="auto"/>
            <w:vAlign w:val="center"/>
            <w:hideMark/>
          </w:tcPr>
          <w:p w14:paraId="431B5001"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6</w:t>
            </w:r>
          </w:p>
        </w:tc>
        <w:tc>
          <w:tcPr>
            <w:tcW w:w="0" w:type="auto"/>
            <w:vAlign w:val="center"/>
            <w:hideMark/>
          </w:tcPr>
          <w:p w14:paraId="09D9080A"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Dashboard Usability</w:t>
            </w:r>
          </w:p>
        </w:tc>
        <w:tc>
          <w:tcPr>
            <w:tcW w:w="0" w:type="auto"/>
            <w:vAlign w:val="center"/>
            <w:hideMark/>
          </w:tcPr>
          <w:p w14:paraId="66161AA8"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The dashboard presents selected healthcare indicators and visual comparisons.</w:t>
            </w:r>
          </w:p>
        </w:tc>
        <w:tc>
          <w:tcPr>
            <w:tcW w:w="0" w:type="auto"/>
            <w:vAlign w:val="center"/>
            <w:hideMark/>
          </w:tcPr>
          <w:p w14:paraId="7909939E"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Improve navigation, add clear definitions and tooltips, organize related charts, and test usability with intended users.</w:t>
            </w:r>
          </w:p>
        </w:tc>
      </w:tr>
    </w:tbl>
    <w:p w14:paraId="2E13C202" w14:textId="64AFDA1A" w:rsidR="00575719" w:rsidRPr="00575719" w:rsidRDefault="00575719" w:rsidP="00575719">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rPr>
      </w:pPr>
      <w:r w:rsidRPr="00575719">
        <w:rPr>
          <w:rFonts w:ascii="Times New Roman" w:eastAsia="Times New Roman" w:hAnsi="Times New Roman" w:cs="Times New Roman"/>
          <w:b/>
          <w:bCs/>
          <w:sz w:val="36"/>
          <w:szCs w:val="36"/>
          <w:lang w:val="en-IN" w:eastAsia="en-IN"/>
        </w:rPr>
        <w:t>Future Roadmap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8"/>
        <w:gridCol w:w="4115"/>
        <w:gridCol w:w="1808"/>
        <w:gridCol w:w="3843"/>
      </w:tblGrid>
      <w:tr w:rsidR="00575719" w:rsidRPr="00575719" w14:paraId="56672885" w14:textId="77777777" w:rsidTr="00575719">
        <w:trPr>
          <w:tblCellSpacing w:w="15" w:type="dxa"/>
        </w:trPr>
        <w:tc>
          <w:tcPr>
            <w:tcW w:w="0" w:type="auto"/>
            <w:vAlign w:val="center"/>
            <w:hideMark/>
          </w:tcPr>
          <w:p w14:paraId="4706884A" w14:textId="77777777" w:rsidR="00575719" w:rsidRPr="00575719" w:rsidRDefault="00575719" w:rsidP="00575719">
            <w:pPr>
              <w:widowControl/>
              <w:autoSpaceDE/>
              <w:autoSpaceDN/>
              <w:jc w:val="center"/>
              <w:rPr>
                <w:rFonts w:ascii="Times New Roman" w:eastAsia="Times New Roman" w:hAnsi="Times New Roman" w:cs="Times New Roman"/>
                <w:b/>
                <w:bCs/>
                <w:sz w:val="24"/>
                <w:szCs w:val="24"/>
                <w:lang w:val="en-IN" w:eastAsia="en-IN"/>
              </w:rPr>
            </w:pPr>
            <w:r w:rsidRPr="00575719">
              <w:rPr>
                <w:rFonts w:ascii="Times New Roman" w:eastAsia="Times New Roman" w:hAnsi="Times New Roman" w:cs="Times New Roman"/>
                <w:b/>
                <w:bCs/>
                <w:sz w:val="24"/>
                <w:szCs w:val="24"/>
                <w:lang w:val="en-IN" w:eastAsia="en-IN"/>
              </w:rPr>
              <w:t>Phase</w:t>
            </w:r>
          </w:p>
        </w:tc>
        <w:tc>
          <w:tcPr>
            <w:tcW w:w="0" w:type="auto"/>
            <w:vAlign w:val="center"/>
            <w:hideMark/>
          </w:tcPr>
          <w:p w14:paraId="60A7563F" w14:textId="77777777" w:rsidR="00575719" w:rsidRPr="00575719" w:rsidRDefault="00575719" w:rsidP="00575719">
            <w:pPr>
              <w:widowControl/>
              <w:autoSpaceDE/>
              <w:autoSpaceDN/>
              <w:jc w:val="center"/>
              <w:rPr>
                <w:rFonts w:ascii="Times New Roman" w:eastAsia="Times New Roman" w:hAnsi="Times New Roman" w:cs="Times New Roman"/>
                <w:b/>
                <w:bCs/>
                <w:sz w:val="24"/>
                <w:szCs w:val="24"/>
                <w:lang w:val="en-IN" w:eastAsia="en-IN"/>
              </w:rPr>
            </w:pPr>
            <w:r w:rsidRPr="00575719">
              <w:rPr>
                <w:rFonts w:ascii="Times New Roman" w:eastAsia="Times New Roman" w:hAnsi="Times New Roman" w:cs="Times New Roman"/>
                <w:b/>
                <w:bCs/>
                <w:sz w:val="24"/>
                <w:szCs w:val="24"/>
                <w:lang w:val="en-IN" w:eastAsia="en-IN"/>
              </w:rPr>
              <w:t>Planned Feature / Enhancement</w:t>
            </w:r>
          </w:p>
        </w:tc>
        <w:tc>
          <w:tcPr>
            <w:tcW w:w="0" w:type="auto"/>
            <w:vAlign w:val="center"/>
            <w:hideMark/>
          </w:tcPr>
          <w:p w14:paraId="0EA4A726" w14:textId="77777777" w:rsidR="00575719" w:rsidRPr="00575719" w:rsidRDefault="00575719" w:rsidP="00575719">
            <w:pPr>
              <w:widowControl/>
              <w:autoSpaceDE/>
              <w:autoSpaceDN/>
              <w:jc w:val="center"/>
              <w:rPr>
                <w:rFonts w:ascii="Times New Roman" w:eastAsia="Times New Roman" w:hAnsi="Times New Roman" w:cs="Times New Roman"/>
                <w:b/>
                <w:bCs/>
                <w:sz w:val="24"/>
                <w:szCs w:val="24"/>
                <w:lang w:val="en-IN" w:eastAsia="en-IN"/>
              </w:rPr>
            </w:pPr>
            <w:r w:rsidRPr="00575719">
              <w:rPr>
                <w:rFonts w:ascii="Times New Roman" w:eastAsia="Times New Roman" w:hAnsi="Times New Roman" w:cs="Times New Roman"/>
                <w:b/>
                <w:bCs/>
                <w:sz w:val="24"/>
                <w:szCs w:val="24"/>
                <w:lang w:val="en-IN" w:eastAsia="en-IN"/>
              </w:rPr>
              <w:t>Target Timeline</w:t>
            </w:r>
          </w:p>
        </w:tc>
        <w:tc>
          <w:tcPr>
            <w:tcW w:w="0" w:type="auto"/>
            <w:vAlign w:val="center"/>
            <w:hideMark/>
          </w:tcPr>
          <w:p w14:paraId="5DAD24BC" w14:textId="77777777" w:rsidR="00575719" w:rsidRPr="00575719" w:rsidRDefault="00575719" w:rsidP="00575719">
            <w:pPr>
              <w:widowControl/>
              <w:autoSpaceDE/>
              <w:autoSpaceDN/>
              <w:jc w:val="center"/>
              <w:rPr>
                <w:rFonts w:ascii="Times New Roman" w:eastAsia="Times New Roman" w:hAnsi="Times New Roman" w:cs="Times New Roman"/>
                <w:b/>
                <w:bCs/>
                <w:sz w:val="24"/>
                <w:szCs w:val="24"/>
                <w:lang w:val="en-IN" w:eastAsia="en-IN"/>
              </w:rPr>
            </w:pPr>
            <w:r w:rsidRPr="00575719">
              <w:rPr>
                <w:rFonts w:ascii="Times New Roman" w:eastAsia="Times New Roman" w:hAnsi="Times New Roman" w:cs="Times New Roman"/>
                <w:b/>
                <w:bCs/>
                <w:sz w:val="24"/>
                <w:szCs w:val="24"/>
                <w:lang w:val="en-IN" w:eastAsia="en-IN"/>
              </w:rPr>
              <w:t>Expected Impact</w:t>
            </w:r>
          </w:p>
        </w:tc>
      </w:tr>
      <w:tr w:rsidR="00575719" w:rsidRPr="00575719" w14:paraId="057D0973" w14:textId="77777777" w:rsidTr="00575719">
        <w:trPr>
          <w:tblCellSpacing w:w="15" w:type="dxa"/>
        </w:trPr>
        <w:tc>
          <w:tcPr>
            <w:tcW w:w="0" w:type="auto"/>
            <w:vAlign w:val="center"/>
            <w:hideMark/>
          </w:tcPr>
          <w:p w14:paraId="4E8A698E"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Phase 1</w:t>
            </w:r>
          </w:p>
        </w:tc>
        <w:tc>
          <w:tcPr>
            <w:tcW w:w="0" w:type="auto"/>
            <w:vAlign w:val="center"/>
            <w:hideMark/>
          </w:tcPr>
          <w:p w14:paraId="2F00545D"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Complete dashboard validation, improve documentation, and finalize the GitHub repository.</w:t>
            </w:r>
          </w:p>
        </w:tc>
        <w:tc>
          <w:tcPr>
            <w:tcW w:w="0" w:type="auto"/>
            <w:vAlign w:val="center"/>
            <w:hideMark/>
          </w:tcPr>
          <w:p w14:paraId="3AB13D37"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Immediate / Current project completion</w:t>
            </w:r>
          </w:p>
        </w:tc>
        <w:tc>
          <w:tcPr>
            <w:tcW w:w="0" w:type="auto"/>
            <w:vAlign w:val="center"/>
            <w:hideMark/>
          </w:tcPr>
          <w:p w14:paraId="3C86411F"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A complete, reproducible, and clearly documented project submission.</w:t>
            </w:r>
          </w:p>
        </w:tc>
      </w:tr>
      <w:tr w:rsidR="00575719" w:rsidRPr="00575719" w14:paraId="1B06FD60" w14:textId="77777777" w:rsidTr="00575719">
        <w:trPr>
          <w:tblCellSpacing w:w="15" w:type="dxa"/>
        </w:trPr>
        <w:tc>
          <w:tcPr>
            <w:tcW w:w="0" w:type="auto"/>
            <w:vAlign w:val="center"/>
            <w:hideMark/>
          </w:tcPr>
          <w:p w14:paraId="28E02352"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Phase 2</w:t>
            </w:r>
          </w:p>
        </w:tc>
        <w:tc>
          <w:tcPr>
            <w:tcW w:w="0" w:type="auto"/>
            <w:vAlign w:val="center"/>
            <w:hideMark/>
          </w:tcPr>
          <w:p w14:paraId="39B7D083"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Establish a more reliable data-update workflow and evaluate additional de-identified healthcare datasets.</w:t>
            </w:r>
          </w:p>
        </w:tc>
        <w:tc>
          <w:tcPr>
            <w:tcW w:w="0" w:type="auto"/>
            <w:vAlign w:val="center"/>
            <w:hideMark/>
          </w:tcPr>
          <w:p w14:paraId="5BC7159E"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1–2 months after project completion</w:t>
            </w:r>
          </w:p>
        </w:tc>
        <w:tc>
          <w:tcPr>
            <w:tcW w:w="0" w:type="auto"/>
            <w:vAlign w:val="center"/>
            <w:hideMark/>
          </w:tcPr>
          <w:p w14:paraId="7F953B0A"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More maintainable analysis and the ability to explore a broader range of healthcare data.</w:t>
            </w:r>
          </w:p>
        </w:tc>
      </w:tr>
      <w:tr w:rsidR="00575719" w:rsidRPr="00575719" w14:paraId="09BFC458" w14:textId="77777777" w:rsidTr="00575719">
        <w:trPr>
          <w:tblCellSpacing w:w="15" w:type="dxa"/>
        </w:trPr>
        <w:tc>
          <w:tcPr>
            <w:tcW w:w="0" w:type="auto"/>
            <w:vAlign w:val="center"/>
            <w:hideMark/>
          </w:tcPr>
          <w:p w14:paraId="76330066"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Phase 3</w:t>
            </w:r>
          </w:p>
        </w:tc>
        <w:tc>
          <w:tcPr>
            <w:tcW w:w="0" w:type="auto"/>
            <w:vAlign w:val="center"/>
            <w:hideMark/>
          </w:tcPr>
          <w:p w14:paraId="1DA32F8F"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Add advanced comparisons, more detailed demographic analysis, and longitudinal trends if time-based data becomes available.</w:t>
            </w:r>
          </w:p>
        </w:tc>
        <w:tc>
          <w:tcPr>
            <w:tcW w:w="0" w:type="auto"/>
            <w:vAlign w:val="center"/>
            <w:hideMark/>
          </w:tcPr>
          <w:p w14:paraId="18644703"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3–4 months after project completion</w:t>
            </w:r>
          </w:p>
        </w:tc>
        <w:tc>
          <w:tcPr>
            <w:tcW w:w="0" w:type="auto"/>
            <w:vAlign w:val="center"/>
            <w:hideMark/>
          </w:tcPr>
          <w:p w14:paraId="5A04EB32"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Better understanding of patterns across groups and over time, where supported by the data.</w:t>
            </w:r>
          </w:p>
        </w:tc>
      </w:tr>
      <w:tr w:rsidR="00575719" w:rsidRPr="00575719" w14:paraId="2905A25B" w14:textId="77777777" w:rsidTr="00575719">
        <w:trPr>
          <w:tblCellSpacing w:w="15" w:type="dxa"/>
        </w:trPr>
        <w:tc>
          <w:tcPr>
            <w:tcW w:w="0" w:type="auto"/>
            <w:vAlign w:val="center"/>
            <w:hideMark/>
          </w:tcPr>
          <w:p w14:paraId="1CDC1C05"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lastRenderedPageBreak/>
              <w:t>Phase 4</w:t>
            </w:r>
          </w:p>
        </w:tc>
        <w:tc>
          <w:tcPr>
            <w:tcW w:w="0" w:type="auto"/>
            <w:vAlign w:val="center"/>
            <w:hideMark/>
          </w:tcPr>
          <w:p w14:paraId="432B9A32"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Explore predictive analytics, model evaluation, and appropriate privacy-preserving deployment options.</w:t>
            </w:r>
          </w:p>
        </w:tc>
        <w:tc>
          <w:tcPr>
            <w:tcW w:w="0" w:type="auto"/>
            <w:vAlign w:val="center"/>
            <w:hideMark/>
          </w:tcPr>
          <w:p w14:paraId="7AC75AB5"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5–6 months after project completion</w:t>
            </w:r>
          </w:p>
        </w:tc>
        <w:tc>
          <w:tcPr>
            <w:tcW w:w="0" w:type="auto"/>
            <w:vAlign w:val="center"/>
            <w:hideMark/>
          </w:tcPr>
          <w:p w14:paraId="4CEFDD32" w14:textId="77777777" w:rsidR="00575719" w:rsidRPr="00575719" w:rsidRDefault="00575719" w:rsidP="00575719">
            <w:pPr>
              <w:widowControl/>
              <w:autoSpaceDE/>
              <w:autoSpaceDN/>
              <w:rPr>
                <w:rFonts w:ascii="Times New Roman" w:eastAsia="Times New Roman" w:hAnsi="Times New Roman" w:cs="Times New Roman"/>
                <w:sz w:val="24"/>
                <w:szCs w:val="24"/>
                <w:lang w:val="en-IN" w:eastAsia="en-IN"/>
              </w:rPr>
            </w:pPr>
            <w:r w:rsidRPr="00575719">
              <w:rPr>
                <w:rFonts w:ascii="Times New Roman" w:eastAsia="Times New Roman" w:hAnsi="Times New Roman" w:cs="Times New Roman"/>
                <w:sz w:val="24"/>
                <w:szCs w:val="24"/>
                <w:lang w:val="en-IN" w:eastAsia="en-IN"/>
              </w:rPr>
              <w:t>Potential forecasting and risk-analysis capabilities, subject to adequate data quality, validation, and privacy safeguards.</w:t>
            </w:r>
          </w:p>
        </w:tc>
      </w:tr>
    </w:tbl>
    <w:p w14:paraId="6B1B235E" w14:textId="77777777" w:rsidR="00842318" w:rsidRDefault="00842318" w:rsidP="00575719">
      <w:pPr>
        <w:pStyle w:val="Heading2"/>
      </w:pPr>
    </w:p>
    <w:sectPr w:rsidR="00842318" w:rsidSect="00575719">
      <w:type w:val="continuous"/>
      <w:pgSz w:w="11920" w:h="16840"/>
      <w:pgMar w:top="980" w:right="708" w:bottom="1289"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BDD"/>
    <w:rsid w:val="000B4592"/>
    <w:rsid w:val="00105BDD"/>
    <w:rsid w:val="00442F04"/>
    <w:rsid w:val="00575719"/>
    <w:rsid w:val="006B48CE"/>
    <w:rsid w:val="006F5BCB"/>
    <w:rsid w:val="00842318"/>
    <w:rsid w:val="00930DC4"/>
    <w:rsid w:val="009A1B15"/>
    <w:rsid w:val="00D60D10"/>
    <w:rsid w:val="00E429B0"/>
    <w:rsid w:val="00E738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28931"/>
  <w15:docId w15:val="{C5D7B719-359C-4A4E-9B30-771A028C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29"/>
      <w:ind w:right="12"/>
      <w:jc w:val="center"/>
      <w:outlineLvl w:val="0"/>
    </w:pPr>
    <w:rPr>
      <w:b/>
      <w:bCs/>
      <w:sz w:val="28"/>
      <w:szCs w:val="28"/>
    </w:rPr>
  </w:style>
  <w:style w:type="paragraph" w:styleId="Heading2">
    <w:name w:val="heading 2"/>
    <w:basedOn w:val="Normal"/>
    <w:uiPriority w:val="9"/>
    <w:unhideWhenUsed/>
    <w:qFormat/>
    <w:pPr>
      <w:ind w:left="54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TMLCode">
    <w:name w:val="HTML Code"/>
    <w:basedOn w:val="DefaultParagraphFont"/>
    <w:uiPriority w:val="99"/>
    <w:semiHidden/>
    <w:unhideWhenUsed/>
    <w:rsid w:val="00930D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creator>Daniya Shaikh</dc:creator>
  <cp:lastModifiedBy>Isha Nigam</cp:lastModifiedBy>
  <cp:revision>2</cp:revision>
  <dcterms:created xsi:type="dcterms:W3CDTF">2026-10-26T17:28:00Z</dcterms:created>
  <dcterms:modified xsi:type="dcterms:W3CDTF">2026-10-26T17:28:00Z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Producer">
    <vt:lpwstr>Skia/PDF m151 Google Docs Renderer</vt:lpwstr>
  </property>
  <property fmtid="{D5CDD505-2E9C-101B-9397-08002B2CF9AE}" pid="5" name="LastSaved">
    <vt:filetime>2026-10-20T00:00:00Z</vt:filetime>
  </property>
</Properties>
</file>