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0455" w14:textId="77777777" w:rsidR="00F90D1E" w:rsidRPr="00F621AF" w:rsidRDefault="002F5F97">
      <w:pPr>
        <w:spacing w:after="0"/>
        <w:jc w:val="center"/>
        <w:rPr>
          <w:rFonts w:ascii="Times New Roman" w:hAnsi="Times New Roman" w:cs="Times New Roman"/>
          <w:b/>
          <w:bCs/>
          <w:sz w:val="28"/>
          <w:szCs w:val="28"/>
        </w:rPr>
      </w:pPr>
      <w:r w:rsidRPr="00F621AF">
        <w:rPr>
          <w:rFonts w:ascii="Times New Roman" w:hAnsi="Times New Roman" w:cs="Times New Roman"/>
          <w:b/>
          <w:bCs/>
          <w:sz w:val="28"/>
          <w:szCs w:val="28"/>
        </w:rPr>
        <w:t>Project Design Phase-II</w:t>
      </w:r>
    </w:p>
    <w:p w14:paraId="2CCC2A90" w14:textId="77777777" w:rsidR="00F90D1E" w:rsidRPr="00F621AF" w:rsidRDefault="002F5F97">
      <w:pPr>
        <w:spacing w:after="0"/>
        <w:jc w:val="center"/>
        <w:rPr>
          <w:rFonts w:ascii="Times New Roman" w:hAnsi="Times New Roman" w:cs="Times New Roman"/>
          <w:b/>
          <w:bCs/>
          <w:sz w:val="28"/>
          <w:szCs w:val="28"/>
        </w:rPr>
      </w:pPr>
      <w:r w:rsidRPr="00F621AF">
        <w:rPr>
          <w:rFonts w:ascii="Times New Roman" w:hAnsi="Times New Roman" w:cs="Times New Roman"/>
          <w:sz w:val="28"/>
          <w:szCs w:val="28"/>
        </w:rPr>
        <w:t>Solution Requirements (Functional &amp; Non-functional)</w:t>
      </w:r>
    </w:p>
    <w:p w14:paraId="2F89AF8E" w14:textId="77777777" w:rsidR="00F90D1E" w:rsidRPr="00F621AF" w:rsidRDefault="00F90D1E">
      <w:pPr>
        <w:spacing w:after="0"/>
        <w:jc w:val="center"/>
        <w:rPr>
          <w:rFonts w:ascii="Times New Roman" w:hAnsi="Times New Roman" w:cs="Times New Roman"/>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90D1E" w:rsidRPr="00F621AF" w14:paraId="3F3EA2BD" w14:textId="77777777">
        <w:tc>
          <w:tcPr>
            <w:tcW w:w="4508" w:type="dxa"/>
          </w:tcPr>
          <w:p w14:paraId="50209AE0" w14:textId="77777777" w:rsidR="00F90D1E" w:rsidRPr="00F621AF" w:rsidRDefault="002F5F97">
            <w:pPr>
              <w:rPr>
                <w:rFonts w:ascii="Times New Roman" w:hAnsi="Times New Roman" w:cs="Times New Roman"/>
              </w:rPr>
            </w:pPr>
            <w:r w:rsidRPr="00F621AF">
              <w:rPr>
                <w:rFonts w:ascii="Times New Roman" w:hAnsi="Times New Roman" w:cs="Times New Roman"/>
              </w:rPr>
              <w:t>Date</w:t>
            </w:r>
          </w:p>
        </w:tc>
        <w:tc>
          <w:tcPr>
            <w:tcW w:w="4843" w:type="dxa"/>
          </w:tcPr>
          <w:p w14:paraId="0DE2575F" w14:textId="3A52CCC0" w:rsidR="00F90D1E" w:rsidRPr="00F621AF" w:rsidRDefault="00F621AF">
            <w:pPr>
              <w:rPr>
                <w:rFonts w:ascii="Times New Roman" w:hAnsi="Times New Roman" w:cs="Times New Roman"/>
              </w:rPr>
            </w:pPr>
            <w:r w:rsidRPr="00F621AF">
              <w:rPr>
                <w:rFonts w:ascii="Times New Roman" w:hAnsi="Times New Roman" w:cs="Times New Roman"/>
              </w:rPr>
              <w:t>12</w:t>
            </w:r>
            <w:r w:rsidR="002F5F97" w:rsidRPr="00F621AF">
              <w:rPr>
                <w:rFonts w:ascii="Times New Roman" w:hAnsi="Times New Roman" w:cs="Times New Roman"/>
              </w:rPr>
              <w:t xml:space="preserve"> October 2026</w:t>
            </w:r>
          </w:p>
        </w:tc>
      </w:tr>
      <w:tr w:rsidR="00F90D1E" w:rsidRPr="00F621AF" w14:paraId="6F01EAD1" w14:textId="77777777">
        <w:tc>
          <w:tcPr>
            <w:tcW w:w="4508" w:type="dxa"/>
          </w:tcPr>
          <w:p w14:paraId="60F61496" w14:textId="77777777" w:rsidR="00F90D1E" w:rsidRPr="00F621AF" w:rsidRDefault="002F5F97">
            <w:pPr>
              <w:rPr>
                <w:rFonts w:ascii="Times New Roman" w:hAnsi="Times New Roman" w:cs="Times New Roman"/>
              </w:rPr>
            </w:pPr>
            <w:r w:rsidRPr="00F621AF">
              <w:rPr>
                <w:rFonts w:ascii="Times New Roman" w:hAnsi="Times New Roman" w:cs="Times New Roman"/>
              </w:rPr>
              <w:t>Team ID</w:t>
            </w:r>
          </w:p>
        </w:tc>
        <w:tc>
          <w:tcPr>
            <w:tcW w:w="4843" w:type="dxa"/>
          </w:tcPr>
          <w:p w14:paraId="5B8095DB" w14:textId="63523007" w:rsidR="00F90D1E" w:rsidRPr="00F621AF" w:rsidRDefault="003F2C2D">
            <w:pPr>
              <w:rPr>
                <w:rFonts w:ascii="Times New Roman" w:hAnsi="Times New Roman" w:cs="Times New Roman"/>
              </w:rPr>
            </w:pPr>
            <w:r>
              <w:rPr>
                <w:rFonts w:ascii="Times New Roman" w:hAnsi="Times New Roman" w:cs="Times New Roman"/>
              </w:rPr>
              <w:t>-</w:t>
            </w:r>
          </w:p>
        </w:tc>
      </w:tr>
      <w:tr w:rsidR="001E3571" w:rsidRPr="00F621AF" w14:paraId="63FF1BEA" w14:textId="77777777">
        <w:tc>
          <w:tcPr>
            <w:tcW w:w="4508" w:type="dxa"/>
          </w:tcPr>
          <w:p w14:paraId="379A4239" w14:textId="77777777" w:rsidR="001E3571" w:rsidRPr="00F621AF" w:rsidRDefault="001E3571" w:rsidP="001E3571">
            <w:pPr>
              <w:rPr>
                <w:rFonts w:ascii="Times New Roman" w:hAnsi="Times New Roman" w:cs="Times New Roman"/>
              </w:rPr>
            </w:pPr>
            <w:r w:rsidRPr="00F621AF">
              <w:rPr>
                <w:rFonts w:ascii="Times New Roman" w:hAnsi="Times New Roman" w:cs="Times New Roman"/>
              </w:rPr>
              <w:t>Project Name</w:t>
            </w:r>
          </w:p>
        </w:tc>
        <w:tc>
          <w:tcPr>
            <w:tcW w:w="4843" w:type="dxa"/>
          </w:tcPr>
          <w:p w14:paraId="33EB4692" w14:textId="4728D70D" w:rsidR="001E3571" w:rsidRPr="00F621AF" w:rsidRDefault="00B42B87" w:rsidP="001E3571">
            <w:pPr>
              <w:rPr>
                <w:rFonts w:ascii="Times New Roman" w:hAnsi="Times New Roman" w:cs="Times New Roman"/>
              </w:rPr>
            </w:pPr>
            <w:r w:rsidRPr="00B42B87">
              <w:rPr>
                <w:rFonts w:ascii="Times New Roman" w:hAnsi="Times New Roman" w:cs="Times New Roman"/>
              </w:rPr>
              <w:t>Health360-Healthcare-Analytics</w:t>
            </w:r>
          </w:p>
        </w:tc>
      </w:tr>
      <w:tr w:rsidR="00F90D1E" w:rsidRPr="00F621AF" w14:paraId="24F99CEB" w14:textId="77777777" w:rsidTr="00F621AF">
        <w:trPr>
          <w:trHeight w:val="247"/>
        </w:trPr>
        <w:tc>
          <w:tcPr>
            <w:tcW w:w="4508" w:type="dxa"/>
          </w:tcPr>
          <w:p w14:paraId="4CDEC7C8" w14:textId="77777777" w:rsidR="00F90D1E" w:rsidRPr="00F621AF" w:rsidRDefault="002F5F97">
            <w:pPr>
              <w:rPr>
                <w:rFonts w:ascii="Times New Roman" w:hAnsi="Times New Roman" w:cs="Times New Roman"/>
              </w:rPr>
            </w:pPr>
            <w:r w:rsidRPr="00F621AF">
              <w:rPr>
                <w:rFonts w:ascii="Times New Roman" w:hAnsi="Times New Roman" w:cs="Times New Roman"/>
              </w:rPr>
              <w:t>Maximum Marks</w:t>
            </w:r>
          </w:p>
        </w:tc>
        <w:tc>
          <w:tcPr>
            <w:tcW w:w="4843" w:type="dxa"/>
          </w:tcPr>
          <w:p w14:paraId="19A33374" w14:textId="77777777" w:rsidR="00F90D1E" w:rsidRPr="00F621AF" w:rsidRDefault="002F5F97">
            <w:pPr>
              <w:rPr>
                <w:rFonts w:ascii="Times New Roman" w:hAnsi="Times New Roman" w:cs="Times New Roman"/>
              </w:rPr>
            </w:pPr>
            <w:r w:rsidRPr="00F621AF">
              <w:rPr>
                <w:rFonts w:ascii="Times New Roman" w:hAnsi="Times New Roman" w:cs="Times New Roman"/>
              </w:rPr>
              <w:t>4 Marks</w:t>
            </w:r>
          </w:p>
        </w:tc>
      </w:tr>
    </w:tbl>
    <w:p w14:paraId="77C46EF4" w14:textId="77777777" w:rsidR="00F621AF" w:rsidRDefault="00F621AF">
      <w:pPr>
        <w:spacing w:after="0"/>
        <w:rPr>
          <w:rFonts w:ascii="Times New Roman" w:hAnsi="Times New Roman" w:cs="Times New Roman"/>
          <w:b/>
          <w:bCs/>
          <w:sz w:val="28"/>
          <w:szCs w:val="28"/>
        </w:rPr>
      </w:pPr>
    </w:p>
    <w:p w14:paraId="774126BF" w14:textId="77777777" w:rsidR="00F621AF" w:rsidRDefault="00F621AF">
      <w:pPr>
        <w:spacing w:after="0"/>
        <w:rPr>
          <w:rFonts w:ascii="Times New Roman" w:hAnsi="Times New Roman" w:cs="Times New Roman"/>
          <w:b/>
          <w:bCs/>
          <w:sz w:val="28"/>
          <w:szCs w:val="28"/>
        </w:rPr>
      </w:pPr>
    </w:p>
    <w:p w14:paraId="744852F5" w14:textId="77777777" w:rsidR="00B42B87" w:rsidRPr="00B42B87" w:rsidRDefault="00B42B87" w:rsidP="00B42B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B42B87">
        <w:rPr>
          <w:rFonts w:ascii="Times New Roman" w:eastAsia="Times New Roman" w:hAnsi="Times New Roman" w:cs="Times New Roman"/>
          <w:b/>
          <w:bCs/>
          <w:sz w:val="27"/>
          <w:szCs w:val="27"/>
          <w:lang w:bidi="ar-SA"/>
        </w:rPr>
        <w:t>Functional Requirements</w:t>
      </w:r>
    </w:p>
    <w:p w14:paraId="15A3779E" w14:textId="77777777" w:rsidR="00B42B87" w:rsidRPr="00B42B87" w:rsidRDefault="00B42B87" w:rsidP="00B42B87">
      <w:pPr>
        <w:spacing w:before="100" w:beforeAutospacing="1" w:after="100" w:afterAutospacing="1"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Following are the functional requirements of the 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4"/>
        <w:gridCol w:w="1698"/>
        <w:gridCol w:w="5905"/>
        <w:gridCol w:w="909"/>
      </w:tblGrid>
      <w:tr w:rsidR="00B42B87" w:rsidRPr="00B42B87" w14:paraId="1322E26B" w14:textId="77777777" w:rsidTr="00B42B87">
        <w:trPr>
          <w:tblHeader/>
          <w:tblCellSpacing w:w="15" w:type="dxa"/>
        </w:trPr>
        <w:tc>
          <w:tcPr>
            <w:tcW w:w="0" w:type="auto"/>
            <w:vAlign w:val="center"/>
            <w:hideMark/>
          </w:tcPr>
          <w:p w14:paraId="3B30B08E"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FR No.</w:t>
            </w:r>
          </w:p>
        </w:tc>
        <w:tc>
          <w:tcPr>
            <w:tcW w:w="0" w:type="auto"/>
            <w:vAlign w:val="center"/>
            <w:hideMark/>
          </w:tcPr>
          <w:p w14:paraId="55F20E5A"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Functional Requirement (Epic)</w:t>
            </w:r>
          </w:p>
        </w:tc>
        <w:tc>
          <w:tcPr>
            <w:tcW w:w="0" w:type="auto"/>
            <w:vAlign w:val="center"/>
            <w:hideMark/>
          </w:tcPr>
          <w:p w14:paraId="421D7992"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Sub Requirement (Story / Sub-Task)</w:t>
            </w:r>
          </w:p>
        </w:tc>
        <w:tc>
          <w:tcPr>
            <w:tcW w:w="0" w:type="auto"/>
            <w:vAlign w:val="center"/>
            <w:hideMark/>
          </w:tcPr>
          <w:p w14:paraId="7FCDBEEF"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Priority</w:t>
            </w:r>
          </w:p>
        </w:tc>
      </w:tr>
      <w:tr w:rsidR="00B42B87" w:rsidRPr="00B42B87" w14:paraId="1BA0BBA3" w14:textId="77777777" w:rsidTr="00B42B87">
        <w:trPr>
          <w:tblCellSpacing w:w="15" w:type="dxa"/>
        </w:trPr>
        <w:tc>
          <w:tcPr>
            <w:tcW w:w="0" w:type="auto"/>
            <w:vAlign w:val="center"/>
            <w:hideMark/>
          </w:tcPr>
          <w:p w14:paraId="3C54E5A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1</w:t>
            </w:r>
          </w:p>
        </w:tc>
        <w:tc>
          <w:tcPr>
            <w:tcW w:w="0" w:type="auto"/>
            <w:vAlign w:val="center"/>
            <w:hideMark/>
          </w:tcPr>
          <w:p w14:paraId="1FFA4BA0"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Data Access &amp; Integration</w:t>
            </w:r>
          </w:p>
        </w:tc>
        <w:tc>
          <w:tcPr>
            <w:tcW w:w="0" w:type="auto"/>
            <w:vAlign w:val="center"/>
            <w:hideMark/>
          </w:tcPr>
          <w:p w14:paraId="6033EF7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Load the patient healthcare dataset (5,000 records, 16 columns covering demographics, clinical indicators, lifestyle habits, symptoms and disease indicators) into Tableau using an extract connection, and make it available to all worksheets and dashboards.</w:t>
            </w:r>
          </w:p>
        </w:tc>
        <w:tc>
          <w:tcPr>
            <w:tcW w:w="0" w:type="auto"/>
            <w:vAlign w:val="center"/>
            <w:hideMark/>
          </w:tcPr>
          <w:p w14:paraId="4375DCB4"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High</w:t>
            </w:r>
          </w:p>
        </w:tc>
      </w:tr>
      <w:tr w:rsidR="00B42B87" w:rsidRPr="00B42B87" w14:paraId="61B1AE49" w14:textId="77777777" w:rsidTr="00B42B87">
        <w:trPr>
          <w:tblCellSpacing w:w="15" w:type="dxa"/>
        </w:trPr>
        <w:tc>
          <w:tcPr>
            <w:tcW w:w="0" w:type="auto"/>
            <w:vAlign w:val="center"/>
            <w:hideMark/>
          </w:tcPr>
          <w:p w14:paraId="004B1251"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2</w:t>
            </w:r>
          </w:p>
        </w:tc>
        <w:tc>
          <w:tcPr>
            <w:tcW w:w="0" w:type="auto"/>
            <w:vAlign w:val="center"/>
            <w:hideMark/>
          </w:tcPr>
          <w:p w14:paraId="5B0A667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Data Processing</w:t>
            </w:r>
          </w:p>
        </w:tc>
        <w:tc>
          <w:tcPr>
            <w:tcW w:w="0" w:type="auto"/>
            <w:vAlign w:val="center"/>
            <w:hideMark/>
          </w:tcPr>
          <w:p w14:paraId="39090606"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Check data types, null values, duplicates and outliers in the Data Source tab. Create calculated fields such as Age Group, BMI Category, Risk Level, Disease Type, Any Disease Flag, Smoker Label, Total Patients and Disease Prevalence % to prepare the data for analysis.</w:t>
            </w:r>
          </w:p>
        </w:tc>
        <w:tc>
          <w:tcPr>
            <w:tcW w:w="0" w:type="auto"/>
            <w:vAlign w:val="center"/>
            <w:hideMark/>
          </w:tcPr>
          <w:p w14:paraId="2A38D78B"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High</w:t>
            </w:r>
          </w:p>
        </w:tc>
      </w:tr>
      <w:tr w:rsidR="00B42B87" w:rsidRPr="00B42B87" w14:paraId="750E288B" w14:textId="77777777" w:rsidTr="00B42B87">
        <w:trPr>
          <w:tblCellSpacing w:w="15" w:type="dxa"/>
        </w:trPr>
        <w:tc>
          <w:tcPr>
            <w:tcW w:w="0" w:type="auto"/>
            <w:vAlign w:val="center"/>
            <w:hideMark/>
          </w:tcPr>
          <w:p w14:paraId="78780899"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3</w:t>
            </w:r>
          </w:p>
        </w:tc>
        <w:tc>
          <w:tcPr>
            <w:tcW w:w="0" w:type="auto"/>
            <w:vAlign w:val="center"/>
            <w:hideMark/>
          </w:tcPr>
          <w:p w14:paraId="2FEECCDF"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Health Analysis</w:t>
            </w:r>
          </w:p>
        </w:tc>
        <w:tc>
          <w:tcPr>
            <w:tcW w:w="0" w:type="auto"/>
            <w:vAlign w:val="center"/>
            <w:hideMark/>
          </w:tcPr>
          <w:p w14:paraId="77364114"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Calculate KPIs including total patients, disease prevalence %, average BMI, glucose, blood pressure, cholesterol and health risk score. Analyse disease distribution (heart disease, diabetes, stroke), prevalence by age group and BMI category, lifestyle impact (smoking and exercise) and symptom prevalence (fatigue, chest pain, dizziness).</w:t>
            </w:r>
          </w:p>
        </w:tc>
        <w:tc>
          <w:tcPr>
            <w:tcW w:w="0" w:type="auto"/>
            <w:vAlign w:val="center"/>
            <w:hideMark/>
          </w:tcPr>
          <w:p w14:paraId="776B93B3"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High</w:t>
            </w:r>
          </w:p>
        </w:tc>
      </w:tr>
      <w:tr w:rsidR="00B42B87" w:rsidRPr="00B42B87" w14:paraId="090CAB48" w14:textId="77777777" w:rsidTr="00B42B87">
        <w:trPr>
          <w:tblCellSpacing w:w="15" w:type="dxa"/>
        </w:trPr>
        <w:tc>
          <w:tcPr>
            <w:tcW w:w="0" w:type="auto"/>
            <w:vAlign w:val="center"/>
            <w:hideMark/>
          </w:tcPr>
          <w:p w14:paraId="3B3659B4"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4</w:t>
            </w:r>
          </w:p>
        </w:tc>
        <w:tc>
          <w:tcPr>
            <w:tcW w:w="0" w:type="auto"/>
            <w:vAlign w:val="center"/>
            <w:hideMark/>
          </w:tcPr>
          <w:p w14:paraId="2F1C15F3"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Insights &amp; Visual Outputs</w:t>
            </w:r>
          </w:p>
        </w:tc>
        <w:tc>
          <w:tcPr>
            <w:tcW w:w="0" w:type="auto"/>
            <w:vAlign w:val="center"/>
            <w:hideMark/>
          </w:tcPr>
          <w:p w14:paraId="6382D0A9"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Provide 3 interactive Tableau dashboards and a 5-scene story. Use a KPI summary, a bar chart for disease distribution, a scatter plot of blood pressure vs cholesterol coloured by risk level, a highlight table (heatmap) for smoking vs exercise, a stacked bar chart by age group, a bar chart by BMI category and a bar chart for symptoms.</w:t>
            </w:r>
          </w:p>
        </w:tc>
        <w:tc>
          <w:tcPr>
            <w:tcW w:w="0" w:type="auto"/>
            <w:vAlign w:val="center"/>
            <w:hideMark/>
          </w:tcPr>
          <w:p w14:paraId="2C8BC4E1"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High</w:t>
            </w:r>
          </w:p>
        </w:tc>
      </w:tr>
      <w:tr w:rsidR="00B42B87" w:rsidRPr="00B42B87" w14:paraId="39ACB2BB" w14:textId="77777777" w:rsidTr="00B42B87">
        <w:trPr>
          <w:tblCellSpacing w:w="15" w:type="dxa"/>
        </w:trPr>
        <w:tc>
          <w:tcPr>
            <w:tcW w:w="0" w:type="auto"/>
            <w:vAlign w:val="center"/>
            <w:hideMark/>
          </w:tcPr>
          <w:p w14:paraId="46139DD5"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5</w:t>
            </w:r>
          </w:p>
        </w:tc>
        <w:tc>
          <w:tcPr>
            <w:tcW w:w="0" w:type="auto"/>
            <w:vAlign w:val="center"/>
            <w:hideMark/>
          </w:tcPr>
          <w:p w14:paraId="799AC273"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User Interaction &amp; Analysis</w:t>
            </w:r>
          </w:p>
        </w:tc>
        <w:tc>
          <w:tcPr>
            <w:tcW w:w="0" w:type="auto"/>
            <w:vAlign w:val="center"/>
            <w:hideMark/>
          </w:tcPr>
          <w:p w14:paraId="4122C05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Allow users to filter and compare data by Age Group, gender and Risk Level, and use filter actions (for example, selecting a disease updates the scatter plot, selecting a heatmap cell updates the symptoms chart). Results update consistently across the dashboard.</w:t>
            </w:r>
          </w:p>
        </w:tc>
        <w:tc>
          <w:tcPr>
            <w:tcW w:w="0" w:type="auto"/>
            <w:vAlign w:val="center"/>
            <w:hideMark/>
          </w:tcPr>
          <w:p w14:paraId="6D38DE15"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Medium</w:t>
            </w:r>
          </w:p>
        </w:tc>
      </w:tr>
      <w:tr w:rsidR="00B42B87" w:rsidRPr="00B42B87" w14:paraId="09F9878B" w14:textId="77777777" w:rsidTr="00B42B87">
        <w:trPr>
          <w:tblCellSpacing w:w="15" w:type="dxa"/>
        </w:trPr>
        <w:tc>
          <w:tcPr>
            <w:tcW w:w="0" w:type="auto"/>
            <w:vAlign w:val="center"/>
            <w:hideMark/>
          </w:tcPr>
          <w:p w14:paraId="31518760"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6</w:t>
            </w:r>
          </w:p>
        </w:tc>
        <w:tc>
          <w:tcPr>
            <w:tcW w:w="0" w:type="auto"/>
            <w:vAlign w:val="center"/>
            <w:hideMark/>
          </w:tcPr>
          <w:p w14:paraId="1FC346BE"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Publishing &amp; Web Access</w:t>
            </w:r>
          </w:p>
        </w:tc>
        <w:tc>
          <w:tcPr>
            <w:tcW w:w="0" w:type="auto"/>
            <w:vAlign w:val="center"/>
            <w:hideMark/>
          </w:tcPr>
          <w:p w14:paraId="217DAAD6"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Publish the workbook to Tableau Public and embed the three dashboards and the story in a Flask web application with a home page and navigation bar, so users can access the analysis in any browser.</w:t>
            </w:r>
          </w:p>
        </w:tc>
        <w:tc>
          <w:tcPr>
            <w:tcW w:w="0" w:type="auto"/>
            <w:vAlign w:val="center"/>
            <w:hideMark/>
          </w:tcPr>
          <w:p w14:paraId="6D0F95FA"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Medium</w:t>
            </w:r>
          </w:p>
        </w:tc>
      </w:tr>
    </w:tbl>
    <w:p w14:paraId="44D18C61"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lastRenderedPageBreak/>
        <w:pict w14:anchorId="229CCBEF">
          <v:rect id="_x0000_i1046" style="width:0;height:1.5pt" o:hralign="center" o:hrstd="t" o:hr="t" fillcolor="#a0a0a0" stroked="f"/>
        </w:pict>
      </w:r>
    </w:p>
    <w:p w14:paraId="36033783" w14:textId="77777777" w:rsidR="00B42B87" w:rsidRPr="00B42B87" w:rsidRDefault="00B42B87" w:rsidP="00B42B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B42B87">
        <w:rPr>
          <w:rFonts w:ascii="Times New Roman" w:eastAsia="Times New Roman" w:hAnsi="Times New Roman" w:cs="Times New Roman"/>
          <w:b/>
          <w:bCs/>
          <w:sz w:val="27"/>
          <w:szCs w:val="27"/>
          <w:lang w:bidi="ar-SA"/>
        </w:rPr>
        <w:t>Non-Functional Requirements</w:t>
      </w:r>
    </w:p>
    <w:p w14:paraId="34756100" w14:textId="77777777" w:rsidR="00B42B87" w:rsidRPr="00B42B87" w:rsidRDefault="00B42B87" w:rsidP="00B42B87">
      <w:pPr>
        <w:spacing w:before="100" w:beforeAutospacing="1" w:after="100" w:afterAutospacing="1"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Following are the non-functional requirements of the 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768"/>
        <w:gridCol w:w="6533"/>
      </w:tblGrid>
      <w:tr w:rsidR="00B42B87" w:rsidRPr="00B42B87" w14:paraId="23EFA4F9" w14:textId="77777777" w:rsidTr="00B42B87">
        <w:trPr>
          <w:tblHeader/>
          <w:tblCellSpacing w:w="15" w:type="dxa"/>
        </w:trPr>
        <w:tc>
          <w:tcPr>
            <w:tcW w:w="0" w:type="auto"/>
            <w:vAlign w:val="center"/>
            <w:hideMark/>
          </w:tcPr>
          <w:p w14:paraId="1617109F"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NFR No.</w:t>
            </w:r>
          </w:p>
        </w:tc>
        <w:tc>
          <w:tcPr>
            <w:tcW w:w="0" w:type="auto"/>
            <w:vAlign w:val="center"/>
            <w:hideMark/>
          </w:tcPr>
          <w:p w14:paraId="0DE57284"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Non-Functional Requirement</w:t>
            </w:r>
          </w:p>
        </w:tc>
        <w:tc>
          <w:tcPr>
            <w:tcW w:w="0" w:type="auto"/>
            <w:vAlign w:val="center"/>
            <w:hideMark/>
          </w:tcPr>
          <w:p w14:paraId="3666E1C2" w14:textId="77777777" w:rsidR="00B42B87" w:rsidRPr="00B42B87" w:rsidRDefault="00B42B87" w:rsidP="00B42B87">
            <w:pPr>
              <w:spacing w:after="0" w:line="240" w:lineRule="auto"/>
              <w:jc w:val="center"/>
              <w:rPr>
                <w:rFonts w:ascii="Times New Roman" w:eastAsia="Times New Roman" w:hAnsi="Times New Roman" w:cs="Times New Roman"/>
                <w:b/>
                <w:bCs/>
                <w:sz w:val="24"/>
                <w:szCs w:val="24"/>
                <w:lang w:bidi="ar-SA"/>
              </w:rPr>
            </w:pPr>
            <w:r w:rsidRPr="00B42B87">
              <w:rPr>
                <w:rFonts w:ascii="Times New Roman" w:eastAsia="Times New Roman" w:hAnsi="Times New Roman" w:cs="Times New Roman"/>
                <w:b/>
                <w:bCs/>
                <w:sz w:val="24"/>
                <w:szCs w:val="24"/>
                <w:lang w:bidi="ar-SA"/>
              </w:rPr>
              <w:t>Description</w:t>
            </w:r>
          </w:p>
        </w:tc>
      </w:tr>
      <w:tr w:rsidR="00B42B87" w:rsidRPr="00B42B87" w14:paraId="4E4C556D" w14:textId="77777777" w:rsidTr="00B42B87">
        <w:trPr>
          <w:tblCellSpacing w:w="15" w:type="dxa"/>
        </w:trPr>
        <w:tc>
          <w:tcPr>
            <w:tcW w:w="0" w:type="auto"/>
            <w:vAlign w:val="center"/>
            <w:hideMark/>
          </w:tcPr>
          <w:p w14:paraId="3B98A199"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NFR-1</w:t>
            </w:r>
          </w:p>
        </w:tc>
        <w:tc>
          <w:tcPr>
            <w:tcW w:w="0" w:type="auto"/>
            <w:vAlign w:val="center"/>
            <w:hideMark/>
          </w:tcPr>
          <w:p w14:paraId="697C4CD0"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Usability</w:t>
            </w:r>
          </w:p>
        </w:tc>
        <w:tc>
          <w:tcPr>
            <w:tcW w:w="0" w:type="auto"/>
            <w:vAlign w:val="center"/>
            <w:hideMark/>
          </w:tcPr>
          <w:p w14:paraId="609BA66C"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The dashboards and web application should be clear and easy to navigate, with readable KPI summaries, labelled charts, meaningful tooltips, consistent colours (red for high risk) and a simple navigation bar. A phone layout is provided for smaller screens.</w:t>
            </w:r>
          </w:p>
        </w:tc>
      </w:tr>
      <w:tr w:rsidR="00B42B87" w:rsidRPr="00B42B87" w14:paraId="65BD8817" w14:textId="77777777" w:rsidTr="00B42B87">
        <w:trPr>
          <w:tblCellSpacing w:w="15" w:type="dxa"/>
        </w:trPr>
        <w:tc>
          <w:tcPr>
            <w:tcW w:w="0" w:type="auto"/>
            <w:vAlign w:val="center"/>
            <w:hideMark/>
          </w:tcPr>
          <w:p w14:paraId="6176086B"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NFR-2</w:t>
            </w:r>
          </w:p>
        </w:tc>
        <w:tc>
          <w:tcPr>
            <w:tcW w:w="0" w:type="auto"/>
            <w:vAlign w:val="center"/>
            <w:hideMark/>
          </w:tcPr>
          <w:p w14:paraId="082DD833"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Security</w:t>
            </w:r>
          </w:p>
        </w:tc>
        <w:tc>
          <w:tcPr>
            <w:tcW w:w="0" w:type="auto"/>
            <w:vAlign w:val="center"/>
            <w:hideMark/>
          </w:tcPr>
          <w:p w14:paraId="61CBE28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The dataset should be anonymised and should not contain personal identifiers such as names or contact details. Because Tableau Public workbooks are publicly viewable, only non-sensitive data should be published. No credentials or secrets are hard-coded in the Flask application.</w:t>
            </w:r>
          </w:p>
        </w:tc>
      </w:tr>
      <w:tr w:rsidR="00B42B87" w:rsidRPr="00B42B87" w14:paraId="1024CFD3" w14:textId="77777777" w:rsidTr="00B42B87">
        <w:trPr>
          <w:tblCellSpacing w:w="15" w:type="dxa"/>
        </w:trPr>
        <w:tc>
          <w:tcPr>
            <w:tcW w:w="0" w:type="auto"/>
            <w:vAlign w:val="center"/>
            <w:hideMark/>
          </w:tcPr>
          <w:p w14:paraId="331AC5A7"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NFR-3</w:t>
            </w:r>
          </w:p>
        </w:tc>
        <w:tc>
          <w:tcPr>
            <w:tcW w:w="0" w:type="auto"/>
            <w:vAlign w:val="center"/>
            <w:hideMark/>
          </w:tcPr>
          <w:p w14:paraId="251D75B4"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Reliability</w:t>
            </w:r>
          </w:p>
        </w:tc>
        <w:tc>
          <w:tcPr>
            <w:tcW w:w="0" w:type="auto"/>
            <w:vAlign w:val="center"/>
            <w:hideMark/>
          </w:tcPr>
          <w:p w14:paraId="763952A7"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Data-quality checks (nulls, duplicates, data types, outliers) are done before analysis. Calculated fields use consistent definitions, so totals and percentages stay the same across all worksheets and dashboards.</w:t>
            </w:r>
          </w:p>
        </w:tc>
      </w:tr>
      <w:tr w:rsidR="00B42B87" w:rsidRPr="00B42B87" w14:paraId="384D16CB" w14:textId="77777777" w:rsidTr="00B42B87">
        <w:trPr>
          <w:tblCellSpacing w:w="15" w:type="dxa"/>
        </w:trPr>
        <w:tc>
          <w:tcPr>
            <w:tcW w:w="0" w:type="auto"/>
            <w:vAlign w:val="center"/>
            <w:hideMark/>
          </w:tcPr>
          <w:p w14:paraId="6F458E91"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NFR-4</w:t>
            </w:r>
          </w:p>
        </w:tc>
        <w:tc>
          <w:tcPr>
            <w:tcW w:w="0" w:type="auto"/>
            <w:vAlign w:val="center"/>
            <w:hideMark/>
          </w:tcPr>
          <w:p w14:paraId="5A7B445D"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Performance</w:t>
            </w:r>
          </w:p>
        </w:tc>
        <w:tc>
          <w:tcPr>
            <w:tcW w:w="0" w:type="auto"/>
            <w:vAlign w:val="center"/>
            <w:hideMark/>
          </w:tcPr>
          <w:p w14:paraId="45FA8F0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An extract connection is used so that dashboards load quickly. The 5,000-record dataset loads fully, and dashboards respond smoothly to filters and filter actions.</w:t>
            </w:r>
          </w:p>
        </w:tc>
      </w:tr>
      <w:tr w:rsidR="00B42B87" w:rsidRPr="00B42B87" w14:paraId="39F0700A" w14:textId="77777777" w:rsidTr="00B42B87">
        <w:trPr>
          <w:tblCellSpacing w:w="15" w:type="dxa"/>
        </w:trPr>
        <w:tc>
          <w:tcPr>
            <w:tcW w:w="0" w:type="auto"/>
            <w:vAlign w:val="center"/>
            <w:hideMark/>
          </w:tcPr>
          <w:p w14:paraId="00704623"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NFR-5</w:t>
            </w:r>
          </w:p>
        </w:tc>
        <w:tc>
          <w:tcPr>
            <w:tcW w:w="0" w:type="auto"/>
            <w:vAlign w:val="center"/>
            <w:hideMark/>
          </w:tcPr>
          <w:p w14:paraId="6E3F5EC4"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Availability</w:t>
            </w:r>
          </w:p>
        </w:tc>
        <w:tc>
          <w:tcPr>
            <w:tcW w:w="0" w:type="auto"/>
            <w:vAlign w:val="center"/>
            <w:hideMark/>
          </w:tcPr>
          <w:p w14:paraId="10236BEF"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The dashboards are hosted on Tableau Public and are accessible through a browser whenever Tableau Public and an internet connection are available. The Flask application runs locally and can be deployed to a cloud platform for wider access.</w:t>
            </w:r>
          </w:p>
        </w:tc>
      </w:tr>
      <w:tr w:rsidR="00B42B87" w:rsidRPr="00B42B87" w14:paraId="5478604A" w14:textId="77777777" w:rsidTr="00B42B87">
        <w:trPr>
          <w:tblCellSpacing w:w="15" w:type="dxa"/>
        </w:trPr>
        <w:tc>
          <w:tcPr>
            <w:tcW w:w="0" w:type="auto"/>
            <w:vAlign w:val="center"/>
            <w:hideMark/>
          </w:tcPr>
          <w:p w14:paraId="5806FCA8"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NFR-6</w:t>
            </w:r>
          </w:p>
        </w:tc>
        <w:tc>
          <w:tcPr>
            <w:tcW w:w="0" w:type="auto"/>
            <w:vAlign w:val="center"/>
            <w:hideMark/>
          </w:tcPr>
          <w:p w14:paraId="1F17AEBF"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Scalability</w:t>
            </w:r>
          </w:p>
        </w:tc>
        <w:tc>
          <w:tcPr>
            <w:tcW w:w="0" w:type="auto"/>
            <w:vAlign w:val="center"/>
            <w:hideMark/>
          </w:tcPr>
          <w:p w14:paraId="6A979692" w14:textId="77777777" w:rsidR="00B42B87" w:rsidRPr="00B42B87" w:rsidRDefault="00B42B87" w:rsidP="00B42B87">
            <w:pPr>
              <w:spacing w:after="0" w:line="240" w:lineRule="auto"/>
              <w:rPr>
                <w:rFonts w:ascii="Times New Roman" w:eastAsia="Times New Roman" w:hAnsi="Times New Roman" w:cs="Times New Roman"/>
                <w:sz w:val="24"/>
                <w:szCs w:val="24"/>
                <w:lang w:bidi="ar-SA"/>
              </w:rPr>
            </w:pPr>
            <w:r w:rsidRPr="00B42B87">
              <w:rPr>
                <w:rFonts w:ascii="Times New Roman" w:eastAsia="Times New Roman" w:hAnsi="Times New Roman" w:cs="Times New Roman"/>
                <w:sz w:val="24"/>
                <w:szCs w:val="24"/>
                <w:lang w:bidi="ar-SA"/>
              </w:rPr>
              <w:t>The workflow (data source, calculated fields, worksheets, dashboards, story) can be reused with more patient records or additional health indicators without redesigning the solution. Future scope includes machine learning prediction and cloud deployment.</w:t>
            </w:r>
          </w:p>
        </w:tc>
      </w:tr>
    </w:tbl>
    <w:p w14:paraId="4C1BB34C" w14:textId="77777777" w:rsidR="00F90D1E" w:rsidRDefault="00F90D1E" w:rsidP="00B42B87">
      <w:pPr>
        <w:spacing w:after="0"/>
      </w:pPr>
    </w:p>
    <w:sectPr w:rsidR="00F90D1E">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446D" w14:textId="77777777" w:rsidR="00991A44" w:rsidRDefault="00991A44">
      <w:pPr>
        <w:spacing w:after="0" w:line="240" w:lineRule="auto"/>
      </w:pPr>
      <w:r>
        <w:separator/>
      </w:r>
    </w:p>
  </w:endnote>
  <w:endnote w:type="continuationSeparator" w:id="0">
    <w:p w14:paraId="131AF33F" w14:textId="77777777" w:rsidR="00991A44" w:rsidRDefault="00991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69AFD1A-4FB9-4385-B382-125C6EC9CFFB}"/>
    <w:embedBold r:id="rId2" w:fontKey="{BECE9502-D30F-4D68-9FD4-1792FD788F9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E596244-4A98-4B11-8D6F-5B0C0EEAD4D6}"/>
  </w:font>
  <w:font w:name="Calibri Light">
    <w:panose1 w:val="020F0302020204030204"/>
    <w:charset w:val="00"/>
    <w:family w:val="swiss"/>
    <w:pitch w:val="variable"/>
    <w:sig w:usb0="E4002EFF" w:usb1="C200247B" w:usb2="00000009" w:usb3="00000000" w:csb0="000001FF" w:csb1="00000000"/>
    <w:embedRegular r:id="rId4" w:fontKey="{7A56C2A5-2323-45C2-8F19-BDC97BB2CF36}"/>
  </w:font>
  <w:font w:name="Mangal">
    <w:panose1 w:val="02040503050203030202"/>
    <w:charset w:val="00"/>
    <w:family w:val="roman"/>
    <w:pitch w:val="variable"/>
    <w:sig w:usb0="00008003" w:usb1="00000000" w:usb2="00000000" w:usb3="00000000" w:csb0="00000001" w:csb1="00000000"/>
    <w:embedRegular r:id="rId5" w:fontKey="{89303651-F91B-46B5-A6C8-D838F68B1D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2C7F7" w14:textId="77777777" w:rsidR="00991A44" w:rsidRDefault="00991A44">
      <w:pPr>
        <w:spacing w:after="0" w:line="240" w:lineRule="auto"/>
      </w:pPr>
      <w:r>
        <w:separator/>
      </w:r>
    </w:p>
  </w:footnote>
  <w:footnote w:type="continuationSeparator" w:id="0">
    <w:p w14:paraId="05B69D3A" w14:textId="77777777" w:rsidR="00991A44" w:rsidRDefault="00991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24D4" w14:textId="77777777" w:rsidR="00F90D1E" w:rsidRDefault="002F5F97">
    <w:r>
      <w:rPr>
        <w:noProof/>
      </w:rPr>
      <w:drawing>
        <wp:anchor distT="114300" distB="114300" distL="114300" distR="114300" simplePos="0" relativeHeight="251658240" behindDoc="0" locked="0" layoutInCell="1" hidden="0" allowOverlap="1" wp14:anchorId="5B537308" wp14:editId="2B70ECEC">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63DEC9B" wp14:editId="30AACC1A">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D1E"/>
    <w:rsid w:val="001E3571"/>
    <w:rsid w:val="002F5F97"/>
    <w:rsid w:val="003F2C2D"/>
    <w:rsid w:val="00442F04"/>
    <w:rsid w:val="004B7B6B"/>
    <w:rsid w:val="009774D7"/>
    <w:rsid w:val="00991A44"/>
    <w:rsid w:val="00A37135"/>
    <w:rsid w:val="00AE0BF8"/>
    <w:rsid w:val="00B42B87"/>
    <w:rsid w:val="00D60D10"/>
    <w:rsid w:val="00F621AF"/>
    <w:rsid w:val="00F90D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19F2"/>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Isha Nigam</cp:lastModifiedBy>
  <cp:revision>5</cp:revision>
  <dcterms:created xsi:type="dcterms:W3CDTF">2026-10-20T15:42:00Z</dcterms:created>
  <dcterms:modified xsi:type="dcterms:W3CDTF">2026-10-26T11:11:00Z</dcterms:modified>
</cp:coreProperties>
</file>