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549A3B2D" w:rsidR="00234B39" w:rsidRPr="000E07E8" w:rsidRDefault="00000000" w:rsidP="000E07E8">
      <w:pPr>
        <w:pStyle w:val="Heading1"/>
        <w:keepNext/>
        <w:keepLines/>
        <w:spacing w:before="360" w:beforeAutospacing="0" w:after="80" w:afterAutospacing="0"/>
        <w:divId w:val="1924559795"/>
        <w:rPr>
          <w:rFonts w:ascii="Bahnschrift SemiBold SemiConden" w:eastAsia="Times New Roman" w:hAnsi="Bahnschrift SemiBold SemiConden" w:cs="Arial"/>
          <w:b w:val="0"/>
          <w:bCs w:val="0"/>
          <w:color w:val="0F4761" w:themeColor="accent1" w:themeShade="BF"/>
          <w:kern w:val="0"/>
          <w:sz w:val="40"/>
          <w:szCs w:val="40"/>
          <w:lang w:val="en"/>
        </w:rPr>
      </w:pPr>
      <w:r w:rsidRPr="000E07E8">
        <w:rPr>
          <w:rFonts w:ascii="Bahnschrift SemiBold SemiConden" w:eastAsia="Times New Roman" w:hAnsi="Bahnschrift SemiBold SemiConden" w:cs="Arial"/>
          <w:b w:val="0"/>
          <w:bCs w:val="0"/>
          <w:color w:val="0F4761" w:themeColor="accent1" w:themeShade="BF"/>
          <w:kern w:val="0"/>
          <w:sz w:val="40"/>
          <w:szCs w:val="40"/>
          <w:lang w:val="en"/>
        </w:rPr>
        <w:t>Project: Summarizing and Analyzing Research Papers</w:t>
      </w:r>
    </w:p>
    <w:p w14:paraId="0B94036A" w14:textId="27CA9B0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E07E8" w:rsidRPr="000E07E8">
        <w:rPr>
          <w:rFonts w:ascii="Arial" w:hAnsi="Arial" w:cs="Arial"/>
          <w:lang w:val="en"/>
        </w:rPr>
        <w:t>Isha Gupta</w:t>
      </w:r>
    </w:p>
    <w:p w14:paraId="677DC39A" w14:textId="605C7F9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E07E8">
        <w:rPr>
          <w:rFonts w:ascii="Arial" w:hAnsi="Arial" w:cs="Arial"/>
          <w:lang w:val="en"/>
        </w:rPr>
        <w:t>ishaguptassm747@gmail.com</w:t>
      </w:r>
    </w:p>
    <w:p w14:paraId="4D7EECF3" w14:textId="61045887"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C77B1">
        <w:rPr>
          <w:rFonts w:ascii="Arial" w:hAnsi="Arial" w:cs="Arial"/>
          <w:lang w:val="en"/>
        </w:rPr>
        <w:t>Business</w:t>
      </w:r>
    </w:p>
    <w:p w14:paraId="6F7ED336" w14:textId="49C57F13" w:rsidR="00234B39" w:rsidRDefault="00000000" w:rsidP="005B074A">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p>
    <w:p w14:paraId="42BA6D90" w14:textId="1AAE2CA7" w:rsidR="00DB20E4" w:rsidRPr="00DB20E4" w:rsidRDefault="00DB20E4" w:rsidP="00DB20E4">
      <w:pPr>
        <w:pStyle w:val="NormalWeb"/>
        <w:ind w:left="900" w:right="600"/>
        <w:divId w:val="465317432"/>
        <w:rPr>
          <w:rFonts w:ascii="Arial" w:hAnsi="Arial" w:cs="Arial"/>
        </w:rPr>
      </w:pPr>
      <w:r w:rsidRPr="00DB20E4">
        <w:rPr>
          <w:rFonts w:ascii="Arial" w:hAnsi="Arial" w:cs="Arial"/>
        </w:rPr>
        <w:t>https://www.researchgate.net/publication/380518381_Analysis_of_Business_Feasibility_Studies_in_MSMEs_Tahu_and_Tempe_Business_Success_Jaya_Mahato_Village_Tambusai_North</w:t>
      </w:r>
    </w:p>
    <w:p w14:paraId="672EE9BF" w14:textId="77777777" w:rsidR="005B074A" w:rsidRDefault="005B074A">
      <w:pPr>
        <w:pStyle w:val="NormalWeb"/>
        <w:divId w:val="465317432"/>
        <w:rPr>
          <w:rFonts w:ascii="Arial" w:hAnsi="Arial" w:cs="Arial"/>
          <w:lang w:val="en"/>
        </w:rPr>
      </w:pPr>
    </w:p>
    <w:p w14:paraId="2A52CA37" w14:textId="6E484FEB" w:rsidR="00234B39" w:rsidRDefault="00000000">
      <w:pPr>
        <w:pStyle w:val="NormalWeb"/>
        <w:divId w:val="465317432"/>
        <w:rPr>
          <w:rStyle w:val="Strong"/>
          <w:rFonts w:ascii="Arial" w:hAnsi="Arial" w:cs="Arial"/>
          <w:lang w:val="en"/>
        </w:rPr>
      </w:pPr>
      <w:r>
        <w:rPr>
          <w:rStyle w:val="Strong"/>
          <w:rFonts w:ascii="Arial" w:hAnsi="Arial" w:cs="Arial"/>
          <w:lang w:val="en"/>
        </w:rPr>
        <w:t xml:space="preserve"> Summary </w:t>
      </w:r>
    </w:p>
    <w:p w14:paraId="0C472462" w14:textId="172D5231" w:rsidR="005B074A" w:rsidRPr="005B074A" w:rsidRDefault="005B074A" w:rsidP="005B074A">
      <w:pPr>
        <w:pStyle w:val="NormalWeb"/>
        <w:ind w:left="600" w:right="600"/>
        <w:divId w:val="465317432"/>
        <w:rPr>
          <w:rStyle w:val="Strong"/>
          <w:rFonts w:ascii="Arial" w:hAnsi="Arial" w:cs="Arial"/>
        </w:rPr>
      </w:pPr>
      <w:proofErr w:type="spellStart"/>
      <w:r w:rsidRPr="005B074A">
        <w:rPr>
          <w:rFonts w:ascii="Arial" w:hAnsi="Arial" w:cs="Arial"/>
          <w:b/>
          <w:bCs/>
        </w:rPr>
        <w:t>Analyzing</w:t>
      </w:r>
      <w:proofErr w:type="spellEnd"/>
      <w:r w:rsidRPr="005B074A">
        <w:rPr>
          <w:rFonts w:ascii="Arial" w:hAnsi="Arial" w:cs="Arial"/>
          <w:b/>
          <w:bCs/>
        </w:rPr>
        <w:t xml:space="preserve"> the financial and non-financial feasibility of the Tofu and Tempeh </w:t>
      </w:r>
      <w:proofErr w:type="spellStart"/>
      <w:r w:rsidRPr="005B074A">
        <w:rPr>
          <w:rFonts w:ascii="Arial" w:hAnsi="Arial" w:cs="Arial"/>
          <w:b/>
          <w:bCs/>
        </w:rPr>
        <w:t>Sukses</w:t>
      </w:r>
      <w:proofErr w:type="spellEnd"/>
      <w:r>
        <w:rPr>
          <w:rFonts w:ascii="Arial" w:hAnsi="Arial" w:cs="Arial"/>
          <w:b/>
          <w:bCs/>
        </w:rPr>
        <w:t xml:space="preserve"> </w:t>
      </w:r>
      <w:r w:rsidRPr="005B074A">
        <w:rPr>
          <w:rFonts w:ascii="Arial" w:hAnsi="Arial" w:cs="Arial"/>
          <w:b/>
          <w:bCs/>
        </w:rPr>
        <w:t>Jaya business venture.</w:t>
      </w:r>
    </w:p>
    <w:p w14:paraId="227FB47F" w14:textId="4BE0D069" w:rsidR="005B074A" w:rsidRDefault="005B074A">
      <w:pPr>
        <w:pStyle w:val="NormalWeb"/>
        <w:divId w:val="465317432"/>
        <w:rPr>
          <w:rFonts w:ascii="Arial" w:hAnsi="Arial" w:cs="Arial"/>
          <w:lang w:val="en"/>
        </w:rPr>
      </w:pPr>
      <w:r w:rsidRPr="005B074A">
        <w:rPr>
          <w:rFonts w:ascii="Arial" w:hAnsi="Arial" w:cs="Arial"/>
        </w:rPr>
        <w:t xml:space="preserve">The study </w:t>
      </w:r>
      <w:proofErr w:type="spellStart"/>
      <w:r w:rsidRPr="005B074A">
        <w:rPr>
          <w:rFonts w:ascii="Arial" w:hAnsi="Arial" w:cs="Arial"/>
        </w:rPr>
        <w:t>analyzes</w:t>
      </w:r>
      <w:proofErr w:type="spellEnd"/>
      <w:r w:rsidRPr="005B074A">
        <w:rPr>
          <w:rFonts w:ascii="Arial" w:hAnsi="Arial" w:cs="Arial"/>
        </w:rPr>
        <w:t xml:space="preserve"> the financial and non-financial feasibility of the Tofu and Tempeh </w:t>
      </w:r>
      <w:proofErr w:type="spellStart"/>
      <w:r w:rsidRPr="005B074A">
        <w:rPr>
          <w:rFonts w:ascii="Arial" w:hAnsi="Arial" w:cs="Arial"/>
        </w:rPr>
        <w:t>Sukses</w:t>
      </w:r>
      <w:proofErr w:type="spellEnd"/>
      <w:r w:rsidRPr="005B074A">
        <w:rPr>
          <w:rFonts w:ascii="Arial" w:hAnsi="Arial" w:cs="Arial"/>
        </w:rPr>
        <w:t xml:space="preserve"> Jaya business. Key findings include a 6-month payback period, IDR 161,565,200 NPV, 1.6% profitability index, and 30% IRR. Strategic location, modern technology, and efficient production contribute to the business's viability.</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7DD443DA" w14:textId="77777777" w:rsidR="0048032E" w:rsidRPr="0048032E" w:rsidRDefault="0048032E" w:rsidP="0048032E">
      <w:pPr>
        <w:pStyle w:val="NormalWeb"/>
        <w:divId w:val="465317432"/>
        <w:rPr>
          <w:rFonts w:ascii="Arial" w:hAnsi="Arial" w:cs="Arial"/>
          <w:b/>
          <w:bCs/>
        </w:rPr>
      </w:pPr>
      <w:r w:rsidRPr="0048032E">
        <w:rPr>
          <w:rFonts w:ascii="Arial" w:hAnsi="Arial" w:cs="Arial"/>
          <w:b/>
          <w:bCs/>
        </w:rPr>
        <w:t xml:space="preserve">"Refined Feasibility Analysis: Enhanced Focus on Production Methods, Marketing Strategies, and Financial Strength of Tofu and Tempeh </w:t>
      </w:r>
      <w:proofErr w:type="spellStart"/>
      <w:r w:rsidRPr="0048032E">
        <w:rPr>
          <w:rFonts w:ascii="Arial" w:hAnsi="Arial" w:cs="Arial"/>
          <w:b/>
          <w:bCs/>
        </w:rPr>
        <w:t>Sukses</w:t>
      </w:r>
      <w:proofErr w:type="spellEnd"/>
      <w:r w:rsidRPr="0048032E">
        <w:rPr>
          <w:rFonts w:ascii="Arial" w:hAnsi="Arial" w:cs="Arial"/>
          <w:b/>
          <w:bCs/>
        </w:rPr>
        <w:t xml:space="preserve"> Jaya"</w:t>
      </w:r>
    </w:p>
    <w:p w14:paraId="228959C2" w14:textId="616BCEF0" w:rsidR="0048032E" w:rsidRPr="0048032E" w:rsidRDefault="0011604B" w:rsidP="0048032E">
      <w:pPr>
        <w:pStyle w:val="NormalWeb"/>
        <w:divId w:val="465317432"/>
        <w:rPr>
          <w:rFonts w:ascii="Arial" w:hAnsi="Arial" w:cs="Arial"/>
        </w:rPr>
      </w:pPr>
      <w:r>
        <w:rPr>
          <w:rStyle w:val="Strong"/>
          <w:rFonts w:ascii="Arial" w:hAnsi="Arial" w:cs="Arial"/>
          <w:lang w:val="en"/>
        </w:rPr>
        <w:t>-</w:t>
      </w:r>
      <w:r w:rsidR="0048032E" w:rsidRPr="0048032E">
        <w:rPr>
          <w:rFonts w:ascii="Arial" w:hAnsi="Arial" w:cs="Arial"/>
        </w:rPr>
        <w:t xml:space="preserve">This iteration refines the feasibility analysis by emphasizing the production process and marketing strategies of Tofu and Tempeh </w:t>
      </w:r>
      <w:proofErr w:type="spellStart"/>
      <w:r w:rsidR="0048032E" w:rsidRPr="0048032E">
        <w:rPr>
          <w:rFonts w:ascii="Arial" w:hAnsi="Arial" w:cs="Arial"/>
        </w:rPr>
        <w:t>Sukses</w:t>
      </w:r>
      <w:proofErr w:type="spellEnd"/>
      <w:r w:rsidR="0048032E" w:rsidRPr="0048032E">
        <w:rPr>
          <w:rFonts w:ascii="Arial" w:hAnsi="Arial" w:cs="Arial"/>
        </w:rPr>
        <w:t xml:space="preserve"> Jaya. Modern methods and strategic marketing improve its competitive edge. Financially, it remains strong with a 6-month PP, IDR 161,565,200 NPV, 1.6% PI, and 30% IRR.</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717167AF" w14:textId="3F4F280B" w:rsidR="0048032E" w:rsidRDefault="0048032E">
      <w:pPr>
        <w:pStyle w:val="Heading3"/>
        <w:divId w:val="465317432"/>
        <w:rPr>
          <w:rFonts w:ascii="Arial" w:eastAsia="Times New Roman" w:hAnsi="Arial" w:cs="Arial"/>
        </w:rPr>
      </w:pPr>
      <w:r w:rsidRPr="0048032E">
        <w:rPr>
          <w:rFonts w:ascii="Arial" w:eastAsia="Times New Roman" w:hAnsi="Arial" w:cs="Arial"/>
        </w:rPr>
        <w:t xml:space="preserve">Comprehensive Feasibility Analysis: Integrating Competitor Analysis and Market Challenges for Tofu and Tempeh </w:t>
      </w:r>
      <w:proofErr w:type="spellStart"/>
      <w:r w:rsidRPr="0048032E">
        <w:rPr>
          <w:rFonts w:ascii="Arial" w:eastAsia="Times New Roman" w:hAnsi="Arial" w:cs="Arial"/>
        </w:rPr>
        <w:t>Sukses</w:t>
      </w:r>
      <w:proofErr w:type="spellEnd"/>
      <w:r w:rsidRPr="0048032E">
        <w:rPr>
          <w:rFonts w:ascii="Arial" w:eastAsia="Times New Roman" w:hAnsi="Arial" w:cs="Arial"/>
        </w:rPr>
        <w:t xml:space="preserve"> Jaya</w:t>
      </w:r>
    </w:p>
    <w:p w14:paraId="64B008A4" w14:textId="77777777" w:rsidR="0048032E" w:rsidRDefault="0048032E">
      <w:pPr>
        <w:pStyle w:val="Heading3"/>
        <w:divId w:val="465317432"/>
        <w:rPr>
          <w:rFonts w:ascii="Arial" w:eastAsia="Times New Roman" w:hAnsi="Arial" w:cs="Arial"/>
        </w:rPr>
      </w:pPr>
    </w:p>
    <w:p w14:paraId="1A169808" w14:textId="77777777" w:rsidR="0048032E" w:rsidRDefault="0048032E">
      <w:pPr>
        <w:pStyle w:val="Heading3"/>
        <w:divId w:val="465317432"/>
        <w:rPr>
          <w:rFonts w:ascii="Arial" w:eastAsia="Times New Roman" w:hAnsi="Arial" w:cs="Arial"/>
        </w:rPr>
      </w:pPr>
    </w:p>
    <w:p w14:paraId="19AFEA3C" w14:textId="77777777" w:rsidR="0048032E" w:rsidRPr="0048032E" w:rsidRDefault="0048032E" w:rsidP="0048032E">
      <w:pPr>
        <w:pStyle w:val="Heading3"/>
        <w:divId w:val="465317432"/>
        <w:rPr>
          <w:rFonts w:ascii="Arial" w:eastAsia="Times New Roman" w:hAnsi="Arial" w:cs="Arial"/>
          <w:b w:val="0"/>
          <w:bCs w:val="0"/>
        </w:rPr>
      </w:pPr>
      <w:r w:rsidRPr="0048032E">
        <w:rPr>
          <w:rFonts w:ascii="Arial" w:eastAsia="Times New Roman" w:hAnsi="Arial" w:cs="Arial"/>
          <w:b w:val="0"/>
          <w:bCs w:val="0"/>
        </w:rPr>
        <w:t xml:space="preserve">This iteration adds competitor analysis and examines potential market challenges to create a more thorough evaluation of Tofu and Tempeh </w:t>
      </w:r>
      <w:proofErr w:type="spellStart"/>
      <w:r w:rsidRPr="0048032E">
        <w:rPr>
          <w:rFonts w:ascii="Arial" w:eastAsia="Times New Roman" w:hAnsi="Arial" w:cs="Arial"/>
          <w:b w:val="0"/>
          <w:bCs w:val="0"/>
        </w:rPr>
        <w:t>Sukses</w:t>
      </w:r>
      <w:proofErr w:type="spellEnd"/>
      <w:r w:rsidRPr="0048032E">
        <w:rPr>
          <w:rFonts w:ascii="Arial" w:eastAsia="Times New Roman" w:hAnsi="Arial" w:cs="Arial"/>
          <w:b w:val="0"/>
          <w:bCs w:val="0"/>
        </w:rPr>
        <w:t xml:space="preserve"> Jaya’s feasibility. The analysis reveals that despite facing competitive pressures, the business benefits from its strategic location, modern production technology, and effective marketing strategies, all of which contribute to a solid competitive position. Financially, the business continues to demonstrate strong potential, maintaining a 6-month payback period, an NPV of IDR 161,565,200, a PI of 1.6%, and an IRR of 30%, reaffirming its viability.</w:t>
      </w:r>
    </w:p>
    <w:p w14:paraId="0CB9CB41" w14:textId="13C82A2E" w:rsidR="0048032E" w:rsidRPr="0048032E" w:rsidRDefault="0048032E" w:rsidP="0048032E">
      <w:pPr>
        <w:pStyle w:val="Heading3"/>
        <w:divId w:val="465317432"/>
        <w:rPr>
          <w:rFonts w:ascii="Arial" w:eastAsia="Times New Roman" w:hAnsi="Arial" w:cs="Arial"/>
        </w:rPr>
      </w:pPr>
    </w:p>
    <w:p w14:paraId="31097DB1" w14:textId="4B3C732D"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4BA64629" w14:textId="77777777" w:rsidR="0048032E" w:rsidRDefault="0048032E" w:rsidP="0048032E">
      <w:pPr>
        <w:pStyle w:val="Heading3"/>
        <w:divId w:val="465317432"/>
        <w:rPr>
          <w:rFonts w:ascii="Arial" w:hAnsi="Arial" w:cs="Arial"/>
        </w:rPr>
      </w:pPr>
      <w:r w:rsidRPr="0048032E">
        <w:rPr>
          <w:rFonts w:ascii="Arial" w:hAnsi="Arial" w:cs="Arial"/>
        </w:rPr>
        <w:t xml:space="preserve">Description </w:t>
      </w:r>
    </w:p>
    <w:p w14:paraId="4FE346BF" w14:textId="51C347CC" w:rsidR="0048032E" w:rsidRDefault="0048032E" w:rsidP="0048032E">
      <w:pPr>
        <w:pStyle w:val="Heading3"/>
        <w:divId w:val="465317432"/>
        <w:rPr>
          <w:rFonts w:ascii="Arial" w:hAnsi="Arial" w:cs="Arial"/>
        </w:rPr>
      </w:pPr>
      <w:r w:rsidRPr="0048032E">
        <w:rPr>
          <w:rFonts w:ascii="Arial" w:hAnsi="Arial" w:cs="Arial"/>
        </w:rPr>
        <w:br/>
      </w:r>
      <w:r w:rsidRPr="0048032E">
        <w:rPr>
          <w:rFonts w:ascii="Arial" w:hAnsi="Arial" w:cs="Arial"/>
          <w:b w:val="0"/>
          <w:bCs w:val="0"/>
        </w:rPr>
        <w:t xml:space="preserve">The final analysis confirms Tofu and Tempeh </w:t>
      </w:r>
      <w:proofErr w:type="spellStart"/>
      <w:r w:rsidRPr="0048032E">
        <w:rPr>
          <w:rFonts w:ascii="Arial" w:hAnsi="Arial" w:cs="Arial"/>
          <w:b w:val="0"/>
          <w:bCs w:val="0"/>
        </w:rPr>
        <w:t>Sukses</w:t>
      </w:r>
      <w:proofErr w:type="spellEnd"/>
      <w:r w:rsidRPr="0048032E">
        <w:rPr>
          <w:rFonts w:ascii="Arial" w:hAnsi="Arial" w:cs="Arial"/>
          <w:b w:val="0"/>
          <w:bCs w:val="0"/>
        </w:rPr>
        <w:t xml:space="preserve"> Jaya's viability, emphasizing its strategic advantages, competitive financial metrics, and effective marketing. With a 6-month PP, IDR 161,565,200 NPV, 1.6% PI, and 30% IRR, the business benefits from modern technology and a prime location, ensuring strong market potential.</w:t>
      </w:r>
    </w:p>
    <w:p w14:paraId="60EE7A36" w14:textId="77777777" w:rsidR="0048032E" w:rsidRDefault="0048032E" w:rsidP="0048032E">
      <w:pPr>
        <w:pStyle w:val="Heading3"/>
        <w:divId w:val="465317432"/>
        <w:rPr>
          <w:rFonts w:ascii="Arial" w:hAnsi="Arial" w:cs="Arial"/>
        </w:rPr>
      </w:pPr>
    </w:p>
    <w:p w14:paraId="0F1D2AE9" w14:textId="77777777" w:rsidR="0048032E" w:rsidRDefault="0048032E" w:rsidP="0048032E">
      <w:pPr>
        <w:pStyle w:val="Heading3"/>
        <w:divId w:val="465317432"/>
        <w:rPr>
          <w:rFonts w:ascii="Arial" w:hAnsi="Arial" w:cs="Arial"/>
        </w:rPr>
      </w:pPr>
      <w:r w:rsidRPr="0048032E">
        <w:rPr>
          <w:rFonts w:ascii="Arial" w:hAnsi="Arial" w:cs="Arial"/>
        </w:rPr>
        <w:t xml:space="preserve"> Summary </w:t>
      </w:r>
    </w:p>
    <w:p w14:paraId="7354A95C" w14:textId="6B17E79C" w:rsidR="0048032E" w:rsidRPr="0048032E" w:rsidRDefault="0048032E" w:rsidP="0048032E">
      <w:pPr>
        <w:pStyle w:val="Heading3"/>
        <w:divId w:val="465317432"/>
        <w:rPr>
          <w:rFonts w:ascii="Arial" w:hAnsi="Arial" w:cs="Arial"/>
          <w:b w:val="0"/>
          <w:bCs w:val="0"/>
        </w:rPr>
      </w:pPr>
      <w:r w:rsidRPr="0048032E">
        <w:rPr>
          <w:rFonts w:ascii="Arial" w:hAnsi="Arial" w:cs="Arial"/>
        </w:rPr>
        <w:br/>
      </w:r>
      <w:r w:rsidRPr="0048032E">
        <w:rPr>
          <w:rFonts w:ascii="Arial" w:hAnsi="Arial" w:cs="Arial"/>
          <w:b w:val="0"/>
          <w:bCs w:val="0"/>
        </w:rPr>
        <w:t xml:space="preserve">The comprehensive evaluation of Tofu and Tempeh </w:t>
      </w:r>
      <w:proofErr w:type="spellStart"/>
      <w:r w:rsidRPr="0048032E">
        <w:rPr>
          <w:rFonts w:ascii="Arial" w:hAnsi="Arial" w:cs="Arial"/>
          <w:b w:val="0"/>
          <w:bCs w:val="0"/>
        </w:rPr>
        <w:t>Sukses</w:t>
      </w:r>
      <w:proofErr w:type="spellEnd"/>
      <w:r w:rsidRPr="0048032E">
        <w:rPr>
          <w:rFonts w:ascii="Arial" w:hAnsi="Arial" w:cs="Arial"/>
          <w:b w:val="0"/>
          <w:bCs w:val="0"/>
        </w:rPr>
        <w:t xml:space="preserve"> Jaya integrates financial analysis, non-financial factors, and competitive landscape insights. The final analysis affirms the business's viability, supported by a 6-month payback period, NPV of IDR 161,565,200, PI of 1.6%, and IRR of 30%. Key strategic advantages include a </w:t>
      </w:r>
      <w:proofErr w:type="spellStart"/>
      <w:r w:rsidRPr="0048032E">
        <w:rPr>
          <w:rFonts w:ascii="Arial" w:hAnsi="Arial" w:cs="Arial"/>
          <w:b w:val="0"/>
          <w:bCs w:val="0"/>
        </w:rPr>
        <w:t>favorable</w:t>
      </w:r>
      <w:proofErr w:type="spellEnd"/>
      <w:r w:rsidRPr="0048032E">
        <w:rPr>
          <w:rFonts w:ascii="Arial" w:hAnsi="Arial" w:cs="Arial"/>
          <w:b w:val="0"/>
          <w:bCs w:val="0"/>
        </w:rPr>
        <w:t xml:space="preserve"> location, the use of modern technology, and effective marketing strategies. Despite existing market competition, these factors contribute to the business's strong market positioning and financial health, confirming its potential for long-term success. The holistic evaluation underscores the business's resilience in both competitive and financial aspects.</w:t>
      </w:r>
    </w:p>
    <w:p w14:paraId="11F22436" w14:textId="47F65FBA" w:rsidR="0048032E" w:rsidRPr="0048032E" w:rsidRDefault="0048032E" w:rsidP="0048032E">
      <w:pPr>
        <w:pStyle w:val="Heading3"/>
        <w:divId w:val="465317432"/>
        <w:rPr>
          <w:rFonts w:ascii="Arial" w:hAnsi="Arial" w:cs="Arial"/>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16BECE9" w14:textId="77777777" w:rsidR="00DD4BF9" w:rsidRDefault="00000000">
      <w:pPr>
        <w:pStyle w:val="NormalWeb"/>
        <w:divId w:val="465317432"/>
        <w:rPr>
          <w:rStyle w:val="Strong"/>
          <w:rFonts w:ascii="Arial" w:hAnsi="Arial" w:cs="Arial"/>
          <w:lang w:val="en"/>
        </w:rPr>
      </w:pPr>
      <w:r>
        <w:rPr>
          <w:rStyle w:val="Strong"/>
          <w:rFonts w:ascii="Arial" w:hAnsi="Arial" w:cs="Arial"/>
          <w:lang w:val="en"/>
        </w:rPr>
        <w:lastRenderedPageBreak/>
        <w:t xml:space="preserve">Key Insights </w:t>
      </w:r>
    </w:p>
    <w:p w14:paraId="49B9F8F3" w14:textId="2DC6099F" w:rsidR="00DD4BF9" w:rsidRDefault="00DD4BF9">
      <w:pPr>
        <w:pStyle w:val="NormalWeb"/>
        <w:divId w:val="465317432"/>
        <w:rPr>
          <w:rFonts w:ascii="Arial" w:hAnsi="Arial" w:cs="Arial"/>
        </w:rPr>
      </w:pPr>
      <w:r w:rsidRPr="00DD4BF9">
        <w:rPr>
          <w:rFonts w:ascii="Arial" w:hAnsi="Arial" w:cs="Arial"/>
        </w:rPr>
        <w:t xml:space="preserve">The research underscores that a thorough business feasibility analysis requires a balance of both financial and non-financial evaluations. While financial metrics such as payback period (PP), net present value (NPV), and internal rate of return (IRR) are vital indicators of profitability, non-financial factors like strategic location, modern technology, and effective marketing significantly influence long-term success. The Tofu and Tempeh </w:t>
      </w:r>
      <w:proofErr w:type="spellStart"/>
      <w:r w:rsidRPr="00DD4BF9">
        <w:rPr>
          <w:rFonts w:ascii="Arial" w:hAnsi="Arial" w:cs="Arial"/>
        </w:rPr>
        <w:t>Sukses</w:t>
      </w:r>
      <w:proofErr w:type="spellEnd"/>
      <w:r w:rsidRPr="00DD4BF9">
        <w:rPr>
          <w:rFonts w:ascii="Arial" w:hAnsi="Arial" w:cs="Arial"/>
        </w:rPr>
        <w:t xml:space="preserve"> Jaya study demonstrates that a business can thrive in a competitive market by leveraging these elements. Moreover, adaptability and continuous innovation play a crucial role in maintaining a competitive edge, allowing businesses to respond effectively to evolving market conditions and customer demands. This insight reveals that long-term success in any industry relies not only on financial viability but also on a business’s ability to stay innovative and strategically positioned.</w:t>
      </w:r>
    </w:p>
    <w:p w14:paraId="0BB04A1A" w14:textId="77777777" w:rsidR="00DD4BF9" w:rsidRPr="00DD4BF9" w:rsidRDefault="00DD4BF9">
      <w:pPr>
        <w:pStyle w:val="NormalWeb"/>
        <w:divId w:val="465317432"/>
        <w:rPr>
          <w:rFonts w:ascii="Arial" w:hAnsi="Arial" w:cs="Arial"/>
          <w:lang w:val="en"/>
        </w:rPr>
      </w:pPr>
    </w:p>
    <w:p w14:paraId="112EDBB6" w14:textId="70916461" w:rsidR="00234B39" w:rsidRDefault="00000000">
      <w:pPr>
        <w:pStyle w:val="NormalWeb"/>
        <w:divId w:val="465317432"/>
        <w:rPr>
          <w:rStyle w:val="Strong"/>
          <w:rFonts w:ascii="Arial" w:hAnsi="Arial" w:cs="Arial"/>
          <w:lang w:val="en"/>
        </w:rPr>
      </w:pPr>
      <w:r>
        <w:rPr>
          <w:rStyle w:val="Strong"/>
          <w:rFonts w:ascii="Arial" w:hAnsi="Arial" w:cs="Arial"/>
          <w:lang w:val="en"/>
        </w:rPr>
        <w:t xml:space="preserve">Potential Applications </w:t>
      </w:r>
    </w:p>
    <w:p w14:paraId="5C53CDB2" w14:textId="7E1D5F19" w:rsidR="00DD4BF9" w:rsidRDefault="00DD4BF9">
      <w:pPr>
        <w:pStyle w:val="NormalWeb"/>
        <w:divId w:val="465317432"/>
        <w:rPr>
          <w:rFonts w:ascii="Arial" w:hAnsi="Arial" w:cs="Arial"/>
          <w:lang w:val="en"/>
        </w:rPr>
      </w:pPr>
      <w:r w:rsidRPr="00DD4BF9">
        <w:rPr>
          <w:rFonts w:ascii="Arial" w:hAnsi="Arial" w:cs="Arial"/>
        </w:rPr>
        <w:t>The findings from this study offer valuable applications for small- to medium-sized enterprises (SMEs), particularly in the food production sector. By integrating both financial metrics and non-financial considerations, SMEs can better assess their business feasibility before entering competitive markets. The framework outlined in the research—emphasizing a mix of financial health, strategic location, adoption of modern technology, and marketing effectiveness—can guide entrepreneurs and existing businesses in making informed operational decisions. Furthermore, the emphasis on innovation and adaptability highlights the importance of staying ahead of competitors by continuously evolving products, processes, and marketing strategies. Other SMEs can apply these principles to build sustainable, competitive advantages and increase their chances of long-term success, particularly in fast-paced, dynamic markets where agility and strategic decision-making are essential for maintaining market presence.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B8E29E0" w:rsidR="00234B39" w:rsidRDefault="00000000" w:rsidP="00DD4BF9">
      <w:pPr>
        <w:pStyle w:val="NormalWeb"/>
        <w:divId w:val="465317432"/>
        <w:rPr>
          <w:rStyle w:val="Strong"/>
          <w:rFonts w:ascii="Arial" w:hAnsi="Arial" w:cs="Arial"/>
          <w:lang w:val="en"/>
        </w:rPr>
      </w:pPr>
      <w:r>
        <w:rPr>
          <w:rStyle w:val="Strong"/>
          <w:rFonts w:ascii="Arial" w:hAnsi="Arial" w:cs="Arial"/>
          <w:lang w:val="en"/>
        </w:rPr>
        <w:t xml:space="preserve">Clarity </w:t>
      </w:r>
    </w:p>
    <w:p w14:paraId="4DF6314C" w14:textId="5762C7EB" w:rsidR="00DD4BF9" w:rsidRDefault="00DD4BF9" w:rsidP="00DD4BF9">
      <w:pPr>
        <w:pStyle w:val="NormalWeb"/>
        <w:divId w:val="465317432"/>
        <w:rPr>
          <w:rFonts w:ascii="Arial" w:hAnsi="Arial" w:cs="Arial"/>
          <w:lang w:val="en"/>
        </w:rPr>
      </w:pPr>
      <w:r w:rsidRPr="00DD4BF9">
        <w:rPr>
          <w:rFonts w:ascii="Arial" w:hAnsi="Arial" w:cs="Arial"/>
        </w:rPr>
        <w:t xml:space="preserve">The final summary is clear, concise, and effectively highlights the key elements of the feasibility study. It successfully </w:t>
      </w:r>
      <w:proofErr w:type="spellStart"/>
      <w:r w:rsidRPr="00DD4BF9">
        <w:rPr>
          <w:rFonts w:ascii="Arial" w:hAnsi="Arial" w:cs="Arial"/>
        </w:rPr>
        <w:t>distills</w:t>
      </w:r>
      <w:proofErr w:type="spellEnd"/>
      <w:r w:rsidRPr="00DD4BF9">
        <w:rPr>
          <w:rFonts w:ascii="Arial" w:hAnsi="Arial" w:cs="Arial"/>
        </w:rPr>
        <w:t xml:space="preserve"> both financial and non-financial insights, making the information easy to understand while offering a comprehensive overview of the business's success factors.</w:t>
      </w:r>
    </w:p>
    <w:p w14:paraId="2C98F647" w14:textId="3FE1EAE3" w:rsidR="00234B39" w:rsidRDefault="00000000">
      <w:pPr>
        <w:pStyle w:val="NormalWeb"/>
        <w:divId w:val="465317432"/>
        <w:rPr>
          <w:rStyle w:val="Strong"/>
          <w:rFonts w:ascii="Arial" w:hAnsi="Arial" w:cs="Arial"/>
          <w:lang w:val="en"/>
        </w:rPr>
      </w:pPr>
      <w:r>
        <w:rPr>
          <w:rStyle w:val="Strong"/>
          <w:rFonts w:ascii="Arial" w:hAnsi="Arial" w:cs="Arial"/>
          <w:lang w:val="en"/>
        </w:rPr>
        <w:t xml:space="preserve">Accuracy </w:t>
      </w:r>
    </w:p>
    <w:p w14:paraId="756FE1F3" w14:textId="702A76E5" w:rsidR="00DD4BF9" w:rsidRDefault="00DD4BF9">
      <w:pPr>
        <w:pStyle w:val="NormalWeb"/>
        <w:divId w:val="465317432"/>
        <w:rPr>
          <w:rFonts w:ascii="Arial" w:hAnsi="Arial" w:cs="Arial"/>
          <w:lang w:val="en"/>
        </w:rPr>
      </w:pPr>
      <w:r w:rsidRPr="00DD4BF9">
        <w:rPr>
          <w:rFonts w:ascii="Arial" w:hAnsi="Arial" w:cs="Arial"/>
        </w:rPr>
        <w:t xml:space="preserve">The final summary accurately captures the core financial metrics—PP, NPV, PI, and IRR—and non-financial elements like location, technology, and marketing. The representation aligns with the research findings, ensuring the </w:t>
      </w:r>
      <w:r w:rsidRPr="00DD4BF9">
        <w:rPr>
          <w:rFonts w:ascii="Arial" w:hAnsi="Arial" w:cs="Arial"/>
        </w:rPr>
        <w:lastRenderedPageBreak/>
        <w:t>analysis is a realistic and faithful reflection of the study's comprehensive evaluation.</w:t>
      </w:r>
    </w:p>
    <w:p w14:paraId="032CD3EB" w14:textId="3DBE6BCE" w:rsidR="00234B39" w:rsidRDefault="00000000">
      <w:pPr>
        <w:pStyle w:val="NormalWeb"/>
        <w:divId w:val="465317432"/>
        <w:rPr>
          <w:rStyle w:val="Strong"/>
          <w:rFonts w:ascii="Arial" w:hAnsi="Arial" w:cs="Arial"/>
          <w:lang w:val="en"/>
        </w:rPr>
      </w:pPr>
      <w:r>
        <w:rPr>
          <w:rStyle w:val="Strong"/>
          <w:rFonts w:ascii="Arial" w:hAnsi="Arial" w:cs="Arial"/>
          <w:lang w:val="en"/>
        </w:rPr>
        <w:t xml:space="preserve">Relevance </w:t>
      </w:r>
    </w:p>
    <w:p w14:paraId="5A7249AF" w14:textId="1B57D194" w:rsidR="00DD4BF9" w:rsidRDefault="00DD4BF9">
      <w:pPr>
        <w:pStyle w:val="NormalWeb"/>
        <w:divId w:val="465317432"/>
        <w:rPr>
          <w:rFonts w:ascii="Arial" w:hAnsi="Arial" w:cs="Arial"/>
          <w:lang w:val="en"/>
        </w:rPr>
      </w:pPr>
      <w:r w:rsidRPr="00DD4BF9">
        <w:rPr>
          <w:rFonts w:ascii="Arial" w:hAnsi="Arial" w:cs="Arial"/>
        </w:rPr>
        <w:t>The insights are highly relevant to SMEs, especially in the food production sector. They provide practical applications for evaluating business feasibility, emphasizing innovation, location, and marketing. The analysis serves as a useful framework for entrepreneurs and planners to refine their strategies and enhance their competitiveness.</w:t>
      </w:r>
    </w:p>
    <w:p w14:paraId="58CD6AFC" w14:textId="77777777" w:rsidR="00DD4BF9" w:rsidRDefault="00DD4BF9">
      <w:pPr>
        <w:pStyle w:val="Heading3"/>
        <w:divId w:val="465317432"/>
        <w:rPr>
          <w:rFonts w:ascii="Arial" w:eastAsia="Times New Roman" w:hAnsi="Arial" w:cs="Arial"/>
          <w:lang w:val="en"/>
        </w:rPr>
      </w:pPr>
    </w:p>
    <w:p w14:paraId="69CA94D7" w14:textId="6F9C4344"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32B561ED" w14:textId="77777777" w:rsidR="00DB20E4" w:rsidRPr="00DB20E4" w:rsidRDefault="00DB20E4" w:rsidP="00DB20E4">
      <w:pPr>
        <w:pStyle w:val="NormalWeb"/>
        <w:divId w:val="465317432"/>
        <w:rPr>
          <w:rFonts w:ascii="Arial" w:hAnsi="Arial" w:cs="Arial"/>
        </w:rPr>
      </w:pPr>
      <w:r w:rsidRPr="00DB20E4">
        <w:rPr>
          <w:rFonts w:ascii="Arial" w:hAnsi="Arial" w:cs="Arial"/>
        </w:rPr>
        <w:t xml:space="preserve">This project has provided a deep and enriching experience, offering me significant insights into the complexities of business feasibility analysis. One of the primary challenges I encountered was balancing the need for a thorough, in-depth analysis with the requirement to provide concise and clear summaries. This pushed me to continuously iterate and refine my approach, ensuring that the final deliverable captured both the essential financial metrics and the critical non-financial factors. Through this process, I learned how to effectively </w:t>
      </w:r>
      <w:proofErr w:type="spellStart"/>
      <w:r w:rsidRPr="00DB20E4">
        <w:rPr>
          <w:rFonts w:ascii="Arial" w:hAnsi="Arial" w:cs="Arial"/>
        </w:rPr>
        <w:t>distill</w:t>
      </w:r>
      <w:proofErr w:type="spellEnd"/>
      <w:r w:rsidRPr="00DB20E4">
        <w:rPr>
          <w:rFonts w:ascii="Arial" w:hAnsi="Arial" w:cs="Arial"/>
        </w:rPr>
        <w:t xml:space="preserve"> complex data into meaningful insights without sacrificing the depth of the analysis.</w:t>
      </w:r>
    </w:p>
    <w:p w14:paraId="737A977D" w14:textId="77777777" w:rsidR="00DB20E4" w:rsidRPr="00DB20E4" w:rsidRDefault="00DB20E4" w:rsidP="00DB20E4">
      <w:pPr>
        <w:pStyle w:val="NormalWeb"/>
        <w:divId w:val="465317432"/>
        <w:rPr>
          <w:rFonts w:ascii="Arial" w:hAnsi="Arial" w:cs="Arial"/>
        </w:rPr>
      </w:pPr>
      <w:r w:rsidRPr="00DB20E4">
        <w:rPr>
          <w:rFonts w:ascii="Arial" w:hAnsi="Arial" w:cs="Arial"/>
        </w:rPr>
        <w:t>The integration of financial metrics like PP, NPV, and IRR with non-financial elements such as location, technology, and marketing was particularly enlightening. This aspect of the project underscored the importance of adopting a holistic approach to evaluating business ventures. It became clear that focusing solely on financials without considering qualitative factors would provide an incomplete picture of a business’s true viability. This learning is especially relevant in today’s business environment, where market conditions are dynamic, and success often hinges on factors beyond the numbers.</w:t>
      </w:r>
    </w:p>
    <w:p w14:paraId="411280CF" w14:textId="77777777" w:rsidR="00DB20E4" w:rsidRPr="00DB20E4" w:rsidRDefault="00DB20E4" w:rsidP="00DB20E4">
      <w:pPr>
        <w:pStyle w:val="NormalWeb"/>
        <w:divId w:val="465317432"/>
        <w:rPr>
          <w:rFonts w:ascii="Arial" w:hAnsi="Arial" w:cs="Arial"/>
        </w:rPr>
      </w:pPr>
      <w:r w:rsidRPr="00DB20E4">
        <w:rPr>
          <w:rFonts w:ascii="Arial" w:hAnsi="Arial" w:cs="Arial"/>
        </w:rPr>
        <w:t>The project has also improved my ability to critically assess business opportunities, enabling me to consider both quantitative and qualitative dimensions when making strategic decisions. Additionally, the iterative nature of the work reinforced the value of continuous learning and adapting to new information, helping me refine both my analysis and communication skills. Overall, this experience has been instrumental in enhancing my understanding of business strategy and feasibility assessment, preparing me for future challenges in business planning.</w:t>
      </w:r>
    </w:p>
    <w:p w14:paraId="1BBCFE56" w14:textId="4B0F5893" w:rsidR="00234B39" w:rsidRDefault="00DB20E4">
      <w:pPr>
        <w:pStyle w:val="NormalWeb"/>
        <w:divId w:val="465317432"/>
        <w:rPr>
          <w:rFonts w:ascii="Arial" w:hAnsi="Arial" w:cs="Arial"/>
          <w:lang w:val="en"/>
        </w:rPr>
      </w:pPr>
      <w:r w:rsidRPr="00DB20E4">
        <w:rPr>
          <w:rFonts w:ascii="Arial" w:hAnsi="Arial" w:cs="Arial"/>
          <w:b/>
          <w:bCs/>
        </w:rPr>
        <w:t>Conclusion</w:t>
      </w:r>
    </w:p>
    <w:p w14:paraId="6D6FBA26" w14:textId="77777777" w:rsidR="00DB20E4" w:rsidRPr="00DB20E4" w:rsidRDefault="00DB20E4" w:rsidP="00DB20E4">
      <w:pPr>
        <w:pStyle w:val="NormalWeb"/>
        <w:divId w:val="465317432"/>
        <w:rPr>
          <w:rFonts w:ascii="Arial" w:hAnsi="Arial" w:cs="Arial"/>
        </w:rPr>
      </w:pPr>
      <w:r w:rsidRPr="00DB20E4">
        <w:rPr>
          <w:rFonts w:ascii="Arial" w:hAnsi="Arial" w:cs="Arial"/>
        </w:rPr>
        <w:t xml:space="preserve">In conclusion, the comprehensive evaluation of the Tofu and Tempeh </w:t>
      </w:r>
      <w:proofErr w:type="spellStart"/>
      <w:r w:rsidRPr="00DB20E4">
        <w:rPr>
          <w:rFonts w:ascii="Arial" w:hAnsi="Arial" w:cs="Arial"/>
        </w:rPr>
        <w:t>Sukses</w:t>
      </w:r>
      <w:proofErr w:type="spellEnd"/>
      <w:r w:rsidRPr="00DB20E4">
        <w:rPr>
          <w:rFonts w:ascii="Arial" w:hAnsi="Arial" w:cs="Arial"/>
        </w:rPr>
        <w:t xml:space="preserve"> Jaya business venture underscores the importance of integrating both financial and non-financial factors in assessing business feasibility. The financial analysis reveals strong potential through key metrics such as the payback period, net present value (NPV), internal rate of return (IRR), and profitability </w:t>
      </w:r>
      <w:r w:rsidRPr="00DB20E4">
        <w:rPr>
          <w:rFonts w:ascii="Arial" w:hAnsi="Arial" w:cs="Arial"/>
        </w:rPr>
        <w:lastRenderedPageBreak/>
        <w:t>index (PI). These indicators confirm the venture's robust financial outlook. Complementing this analysis, non-financial factors like strategic location, modern production technology, and effective marketing strategies further enhance the business's viability.</w:t>
      </w:r>
    </w:p>
    <w:p w14:paraId="72454654" w14:textId="77777777" w:rsidR="00DB20E4" w:rsidRPr="00DB20E4" w:rsidRDefault="00DB20E4" w:rsidP="00DB20E4">
      <w:pPr>
        <w:pStyle w:val="NormalWeb"/>
        <w:divId w:val="465317432"/>
        <w:rPr>
          <w:rFonts w:ascii="Arial" w:hAnsi="Arial" w:cs="Arial"/>
        </w:rPr>
      </w:pPr>
      <w:r w:rsidRPr="00DB20E4">
        <w:rPr>
          <w:rFonts w:ascii="Arial" w:hAnsi="Arial" w:cs="Arial"/>
        </w:rPr>
        <w:t xml:space="preserve">Despite the presence of potential competitive challenges, Tofu and Tempeh </w:t>
      </w:r>
      <w:proofErr w:type="spellStart"/>
      <w:r w:rsidRPr="00DB20E4">
        <w:rPr>
          <w:rFonts w:ascii="Arial" w:hAnsi="Arial" w:cs="Arial"/>
        </w:rPr>
        <w:t>Sukses</w:t>
      </w:r>
      <w:proofErr w:type="spellEnd"/>
      <w:r w:rsidRPr="00DB20E4">
        <w:rPr>
          <w:rFonts w:ascii="Arial" w:hAnsi="Arial" w:cs="Arial"/>
        </w:rPr>
        <w:t xml:space="preserve"> Jaya's strategic advantages position it </w:t>
      </w:r>
      <w:proofErr w:type="spellStart"/>
      <w:r w:rsidRPr="00DB20E4">
        <w:rPr>
          <w:rFonts w:ascii="Arial" w:hAnsi="Arial" w:cs="Arial"/>
        </w:rPr>
        <w:t>favorably</w:t>
      </w:r>
      <w:proofErr w:type="spellEnd"/>
      <w:r w:rsidRPr="00DB20E4">
        <w:rPr>
          <w:rFonts w:ascii="Arial" w:hAnsi="Arial" w:cs="Arial"/>
        </w:rPr>
        <w:t xml:space="preserve"> in the market. This study emphasizes the necessity for businesses to adopt a holistic approach to feasibility analysis, combining quantitative financial metrics with qualitative insights into production processes, marketing strategies, and market conditions.</w:t>
      </w:r>
    </w:p>
    <w:p w14:paraId="66A7EE8A" w14:textId="77777777" w:rsidR="00DB20E4" w:rsidRPr="00DB20E4" w:rsidRDefault="00DB20E4" w:rsidP="00DB20E4">
      <w:pPr>
        <w:pStyle w:val="NormalWeb"/>
        <w:divId w:val="465317432"/>
        <w:rPr>
          <w:rFonts w:ascii="Arial" w:hAnsi="Arial" w:cs="Arial"/>
        </w:rPr>
      </w:pPr>
      <w:r w:rsidRPr="00DB20E4">
        <w:rPr>
          <w:rFonts w:ascii="Arial" w:hAnsi="Arial" w:cs="Arial"/>
        </w:rPr>
        <w:t xml:space="preserve">The findings offer valuable guidance for similar ventures, particularly in the food production sector, where decisions around location, technology, and marketing significantly impact success. Ultimately, Tofu and Tempeh </w:t>
      </w:r>
      <w:proofErr w:type="spellStart"/>
      <w:r w:rsidRPr="00DB20E4">
        <w:rPr>
          <w:rFonts w:ascii="Arial" w:hAnsi="Arial" w:cs="Arial"/>
        </w:rPr>
        <w:t>Sukses</w:t>
      </w:r>
      <w:proofErr w:type="spellEnd"/>
      <w:r w:rsidRPr="00DB20E4">
        <w:rPr>
          <w:rFonts w:ascii="Arial" w:hAnsi="Arial" w:cs="Arial"/>
        </w:rPr>
        <w:t xml:space="preserve"> Jaya appears to be a viable and promising opportunity, equipped with the financial backing and strategic foresight needed to thrive in a competitive environment. This research also serves as a framework for evaluating other business opportunities effectively.</w:t>
      </w:r>
    </w:p>
    <w:p w14:paraId="74FA2ADD" w14:textId="77777777" w:rsidR="00DB20E4" w:rsidRDefault="00DB20E4">
      <w:pPr>
        <w:pStyle w:val="NormalWeb"/>
        <w:divId w:val="465317432"/>
        <w:rPr>
          <w:rFonts w:ascii="Arial" w:hAnsi="Arial" w:cs="Arial"/>
          <w:lang w:val="en"/>
        </w:rPr>
      </w:pPr>
    </w:p>
    <w:p w14:paraId="5207BE2D" w14:textId="77777777" w:rsidR="00DB20E4" w:rsidRPr="00DB20E4" w:rsidRDefault="00DB20E4" w:rsidP="00DB20E4">
      <w:pPr>
        <w:pStyle w:val="NormalWeb"/>
        <w:ind w:left="300" w:right="300"/>
        <w:divId w:val="465317432"/>
        <w:rPr>
          <w:rFonts w:ascii="Arial" w:hAnsi="Arial" w:cs="Arial"/>
          <w:b/>
          <w:bCs/>
        </w:rPr>
      </w:pPr>
      <w:r w:rsidRPr="00DB20E4">
        <w:rPr>
          <w:rFonts w:ascii="Arial" w:hAnsi="Arial" w:cs="Arial"/>
          <w:b/>
          <w:bCs/>
        </w:rPr>
        <w:t>Reference</w:t>
      </w:r>
    </w:p>
    <w:p w14:paraId="0E17AC5A" w14:textId="77777777" w:rsidR="00DB20E4" w:rsidRPr="00DB20E4" w:rsidRDefault="00DB20E4" w:rsidP="00DB20E4">
      <w:pPr>
        <w:pStyle w:val="NormalWeb"/>
        <w:ind w:left="300" w:right="300"/>
        <w:divId w:val="465317432"/>
        <w:rPr>
          <w:rFonts w:ascii="Arial" w:hAnsi="Arial" w:cs="Arial"/>
        </w:rPr>
      </w:pPr>
      <w:r w:rsidRPr="00DB20E4">
        <w:rPr>
          <w:rFonts w:ascii="Arial" w:hAnsi="Arial" w:cs="Arial"/>
        </w:rPr>
        <w:t>https://www.researchgate.net/publication/380518381_Analysis_of_Business_Feasibility_Stu</w:t>
      </w:r>
    </w:p>
    <w:p w14:paraId="3D3BB0AB" w14:textId="77777777" w:rsidR="00DB20E4" w:rsidRPr="00DB20E4" w:rsidRDefault="00DB20E4" w:rsidP="00DB20E4">
      <w:pPr>
        <w:pStyle w:val="NormalWeb"/>
        <w:ind w:left="300" w:right="300"/>
        <w:divId w:val="465317432"/>
        <w:rPr>
          <w:rFonts w:ascii="Arial" w:hAnsi="Arial" w:cs="Arial"/>
        </w:rPr>
      </w:pPr>
      <w:r w:rsidRPr="00DB20E4">
        <w:rPr>
          <w:rFonts w:ascii="Arial" w:hAnsi="Arial" w:cs="Arial"/>
        </w:rPr>
        <w:t>dies_in_MSMEs_Tahu_and_Tempe_Business_Success_Jaya_Mahato_Village_Tambusai_N</w:t>
      </w:r>
    </w:p>
    <w:p w14:paraId="35F55DE6" w14:textId="77777777" w:rsidR="00DB20E4" w:rsidRPr="00DB20E4" w:rsidRDefault="00DB20E4" w:rsidP="00DB20E4">
      <w:pPr>
        <w:pStyle w:val="NormalWeb"/>
        <w:ind w:left="300" w:right="300"/>
        <w:divId w:val="465317432"/>
        <w:rPr>
          <w:rFonts w:ascii="Arial" w:hAnsi="Arial" w:cs="Arial"/>
        </w:rPr>
      </w:pPr>
      <w:proofErr w:type="spellStart"/>
      <w:r w:rsidRPr="00DB20E4">
        <w:rPr>
          <w:rFonts w:ascii="Arial" w:hAnsi="Arial" w:cs="Arial"/>
        </w:rPr>
        <w:t>orth</w:t>
      </w:r>
      <w:proofErr w:type="spellEnd"/>
    </w:p>
    <w:p w14:paraId="212008DD" w14:textId="77777777" w:rsidR="00DB20E4" w:rsidRPr="00DB20E4" w:rsidRDefault="00DB20E4" w:rsidP="00DB20E4">
      <w:pPr>
        <w:pStyle w:val="NormalWeb"/>
        <w:ind w:left="300" w:right="300"/>
        <w:divId w:val="465317432"/>
        <w:rPr>
          <w:rFonts w:ascii="Arial" w:hAnsi="Arial" w:cs="Arial"/>
        </w:rPr>
      </w:pPr>
      <w:r w:rsidRPr="00DB20E4">
        <w:rPr>
          <w:rFonts w:ascii="Arial" w:hAnsi="Arial" w:cs="Arial"/>
        </w:rPr>
        <w:t>https://www.researchgate.net/publication/380518381_Analysis_of_Business_Feasibility_Stu</w:t>
      </w:r>
    </w:p>
    <w:p w14:paraId="6500C4A0" w14:textId="77777777" w:rsidR="00DB20E4" w:rsidRPr="00DB20E4" w:rsidRDefault="00DB20E4" w:rsidP="00DB20E4">
      <w:pPr>
        <w:pStyle w:val="NormalWeb"/>
        <w:ind w:left="300" w:right="300"/>
        <w:divId w:val="465317432"/>
        <w:rPr>
          <w:rFonts w:ascii="Arial" w:hAnsi="Arial" w:cs="Arial"/>
        </w:rPr>
      </w:pPr>
      <w:r w:rsidRPr="00DB20E4">
        <w:rPr>
          <w:rFonts w:ascii="Arial" w:hAnsi="Arial" w:cs="Arial"/>
        </w:rPr>
        <w:t>dies_in_MSMEs_Tahu_and_Tempe_Business_Success_Jaya_Mahato_Village_Tambusai_N</w:t>
      </w:r>
    </w:p>
    <w:p w14:paraId="69840CC2" w14:textId="77777777" w:rsidR="00DB20E4" w:rsidRPr="00DB20E4" w:rsidRDefault="00DB20E4" w:rsidP="00DB20E4">
      <w:pPr>
        <w:pStyle w:val="NormalWeb"/>
        <w:ind w:left="300" w:right="300"/>
        <w:divId w:val="465317432"/>
        <w:rPr>
          <w:rFonts w:ascii="Arial" w:hAnsi="Arial" w:cs="Arial"/>
        </w:rPr>
      </w:pPr>
      <w:proofErr w:type="spellStart"/>
      <w:r w:rsidRPr="00DB20E4">
        <w:rPr>
          <w:rFonts w:ascii="Arial" w:hAnsi="Arial" w:cs="Arial"/>
        </w:rPr>
        <w:t>orth</w:t>
      </w:r>
      <w:proofErr w:type="spellEnd"/>
      <w:proofErr w:type="gramStart"/>
      <w:r w:rsidRPr="00DB20E4">
        <w:rPr>
          <w:rFonts w:ascii="Arial" w:hAnsi="Arial" w:cs="Arial"/>
        </w:rPr>
        <w:t>#:~</w:t>
      </w:r>
      <w:proofErr w:type="gramEnd"/>
      <w:r w:rsidRPr="00DB20E4">
        <w:rPr>
          <w:rFonts w:ascii="Arial" w:hAnsi="Arial" w:cs="Arial"/>
        </w:rPr>
        <w:t>:text=Sugiyono.%20(2012).%20Statistics,1%20No.1.</w:t>
      </w:r>
    </w:p>
    <w:p w14:paraId="09EA5821" w14:textId="77777777" w:rsidR="00DB20E4" w:rsidRPr="00DB20E4" w:rsidRDefault="00DB20E4" w:rsidP="00DB20E4">
      <w:pPr>
        <w:pStyle w:val="NormalWeb"/>
        <w:ind w:left="300" w:right="300"/>
        <w:divId w:val="465317432"/>
        <w:rPr>
          <w:rFonts w:ascii="Arial" w:hAnsi="Arial" w:cs="Arial"/>
        </w:rPr>
      </w:pPr>
      <w:r w:rsidRPr="00DB20E4">
        <w:rPr>
          <w:rFonts w:ascii="Arial" w:hAnsi="Arial" w:cs="Arial"/>
        </w:rPr>
        <w:t>https://www.researchgate.net/publication/380518381_Analysis_of_Business_Feasibility_Stu</w:t>
      </w:r>
    </w:p>
    <w:p w14:paraId="7E43A1CE" w14:textId="77777777" w:rsidR="00DB20E4" w:rsidRPr="00DB20E4" w:rsidRDefault="00DB20E4" w:rsidP="00DB20E4">
      <w:pPr>
        <w:pStyle w:val="NormalWeb"/>
        <w:ind w:left="300" w:right="300"/>
        <w:divId w:val="465317432"/>
        <w:rPr>
          <w:rFonts w:ascii="Arial" w:hAnsi="Arial" w:cs="Arial"/>
        </w:rPr>
      </w:pPr>
      <w:r w:rsidRPr="00DB20E4">
        <w:rPr>
          <w:rFonts w:ascii="Arial" w:hAnsi="Arial" w:cs="Arial"/>
        </w:rPr>
        <w:t>dies_in_MSMEs_Tahu_and_Tempe_Business_Success_Jaya_Mahato_Village_Tambusai_N</w:t>
      </w:r>
    </w:p>
    <w:p w14:paraId="4C779643" w14:textId="03A36868" w:rsidR="00DB20E4" w:rsidRDefault="00DB20E4" w:rsidP="00DB20E4">
      <w:pPr>
        <w:pStyle w:val="NormalWeb"/>
        <w:divId w:val="465317432"/>
        <w:rPr>
          <w:rFonts w:ascii="Arial" w:hAnsi="Arial" w:cs="Arial"/>
          <w:lang w:val="en"/>
        </w:rPr>
      </w:pPr>
      <w:proofErr w:type="spellStart"/>
      <w:r w:rsidRPr="00DB20E4">
        <w:rPr>
          <w:rFonts w:ascii="Arial" w:hAnsi="Arial" w:cs="Arial"/>
        </w:rPr>
        <w:t>orth</w:t>
      </w:r>
      <w:proofErr w:type="spellEnd"/>
      <w:proofErr w:type="gramStart"/>
      <w:r w:rsidRPr="00DB20E4">
        <w:rPr>
          <w:rFonts w:ascii="Arial" w:hAnsi="Arial" w:cs="Arial"/>
        </w:rPr>
        <w:t>#:~</w:t>
      </w:r>
      <w:proofErr w:type="gramEnd"/>
      <w:r w:rsidRPr="00DB20E4">
        <w:rPr>
          <w:rFonts w:ascii="Arial" w:hAnsi="Arial" w:cs="Arial"/>
        </w:rPr>
        <w:t>:text=Risdawaty,in%202013%2D2015)%22.</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E07E8"/>
    <w:rsid w:val="0011604B"/>
    <w:rsid w:val="00234B39"/>
    <w:rsid w:val="0046607C"/>
    <w:rsid w:val="0048032E"/>
    <w:rsid w:val="005244B8"/>
    <w:rsid w:val="005B074A"/>
    <w:rsid w:val="008B0C84"/>
    <w:rsid w:val="00A11F96"/>
    <w:rsid w:val="00A958D5"/>
    <w:rsid w:val="00B45D63"/>
    <w:rsid w:val="00DB20E4"/>
    <w:rsid w:val="00DD4BF9"/>
    <w:rsid w:val="00DD5008"/>
    <w:rsid w:val="00EB2D84"/>
    <w:rsid w:val="00EB63BE"/>
    <w:rsid w:val="00FC7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98164741">
                  <w:marLeft w:val="0"/>
                  <w:marRight w:val="0"/>
                  <w:marTop w:val="0"/>
                  <w:marBottom w:val="0"/>
                  <w:divBdr>
                    <w:top w:val="none" w:sz="0" w:space="0" w:color="auto"/>
                    <w:left w:val="none" w:sz="0" w:space="0" w:color="auto"/>
                    <w:bottom w:val="none" w:sz="0" w:space="0" w:color="auto"/>
                    <w:right w:val="none" w:sz="0" w:space="0" w:color="auto"/>
                  </w:divBdr>
                  <w:divsChild>
                    <w:div w:id="1459838836">
                      <w:marLeft w:val="0"/>
                      <w:marRight w:val="0"/>
                      <w:marTop w:val="0"/>
                      <w:marBottom w:val="0"/>
                      <w:divBdr>
                        <w:top w:val="none" w:sz="0" w:space="0" w:color="auto"/>
                        <w:left w:val="none" w:sz="0" w:space="0" w:color="auto"/>
                        <w:bottom w:val="none" w:sz="0" w:space="0" w:color="auto"/>
                        <w:right w:val="none" w:sz="0" w:space="0" w:color="auto"/>
                      </w:divBdr>
                      <w:divsChild>
                        <w:div w:id="1384213357">
                          <w:marLeft w:val="0"/>
                          <w:marRight w:val="0"/>
                          <w:marTop w:val="0"/>
                          <w:marBottom w:val="0"/>
                          <w:divBdr>
                            <w:top w:val="none" w:sz="0" w:space="0" w:color="auto"/>
                            <w:left w:val="none" w:sz="0" w:space="0" w:color="auto"/>
                            <w:bottom w:val="none" w:sz="0" w:space="0" w:color="auto"/>
                            <w:right w:val="none" w:sz="0" w:space="0" w:color="auto"/>
                          </w:divBdr>
                          <w:divsChild>
                            <w:div w:id="1902208750">
                              <w:marLeft w:val="0"/>
                              <w:marRight w:val="0"/>
                              <w:marTop w:val="0"/>
                              <w:marBottom w:val="0"/>
                              <w:divBdr>
                                <w:top w:val="none" w:sz="0" w:space="0" w:color="auto"/>
                                <w:left w:val="none" w:sz="0" w:space="0" w:color="auto"/>
                                <w:bottom w:val="none" w:sz="0" w:space="0" w:color="auto"/>
                                <w:right w:val="none" w:sz="0" w:space="0" w:color="auto"/>
                              </w:divBdr>
                              <w:divsChild>
                                <w:div w:id="891575415">
                                  <w:marLeft w:val="0"/>
                                  <w:marRight w:val="0"/>
                                  <w:marTop w:val="0"/>
                                  <w:marBottom w:val="0"/>
                                  <w:divBdr>
                                    <w:top w:val="none" w:sz="0" w:space="0" w:color="auto"/>
                                    <w:left w:val="none" w:sz="0" w:space="0" w:color="auto"/>
                                    <w:bottom w:val="none" w:sz="0" w:space="0" w:color="auto"/>
                                    <w:right w:val="none" w:sz="0" w:space="0" w:color="auto"/>
                                  </w:divBdr>
                                  <w:divsChild>
                                    <w:div w:id="600261007">
                                      <w:marLeft w:val="0"/>
                                      <w:marRight w:val="0"/>
                                      <w:marTop w:val="0"/>
                                      <w:marBottom w:val="0"/>
                                      <w:divBdr>
                                        <w:top w:val="none" w:sz="0" w:space="0" w:color="auto"/>
                                        <w:left w:val="none" w:sz="0" w:space="0" w:color="auto"/>
                                        <w:bottom w:val="none" w:sz="0" w:space="0" w:color="auto"/>
                                        <w:right w:val="none" w:sz="0" w:space="0" w:color="auto"/>
                                      </w:divBdr>
                                      <w:divsChild>
                                        <w:div w:id="146677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91028">
                  <w:marLeft w:val="0"/>
                  <w:marRight w:val="0"/>
                  <w:marTop w:val="0"/>
                  <w:marBottom w:val="0"/>
                  <w:divBdr>
                    <w:top w:val="none" w:sz="0" w:space="0" w:color="auto"/>
                    <w:left w:val="none" w:sz="0" w:space="0" w:color="auto"/>
                    <w:bottom w:val="none" w:sz="0" w:space="0" w:color="auto"/>
                    <w:right w:val="none" w:sz="0" w:space="0" w:color="auto"/>
                  </w:divBdr>
                  <w:divsChild>
                    <w:div w:id="1045983191">
                      <w:marLeft w:val="0"/>
                      <w:marRight w:val="0"/>
                      <w:marTop w:val="0"/>
                      <w:marBottom w:val="0"/>
                      <w:divBdr>
                        <w:top w:val="none" w:sz="0" w:space="0" w:color="auto"/>
                        <w:left w:val="none" w:sz="0" w:space="0" w:color="auto"/>
                        <w:bottom w:val="none" w:sz="0" w:space="0" w:color="auto"/>
                        <w:right w:val="none" w:sz="0" w:space="0" w:color="auto"/>
                      </w:divBdr>
                      <w:divsChild>
                        <w:div w:id="153230036">
                          <w:marLeft w:val="0"/>
                          <w:marRight w:val="0"/>
                          <w:marTop w:val="0"/>
                          <w:marBottom w:val="0"/>
                          <w:divBdr>
                            <w:top w:val="none" w:sz="0" w:space="0" w:color="auto"/>
                            <w:left w:val="none" w:sz="0" w:space="0" w:color="auto"/>
                            <w:bottom w:val="none" w:sz="0" w:space="0" w:color="auto"/>
                            <w:right w:val="none" w:sz="0" w:space="0" w:color="auto"/>
                          </w:divBdr>
                          <w:divsChild>
                            <w:div w:id="783580389">
                              <w:marLeft w:val="0"/>
                              <w:marRight w:val="0"/>
                              <w:marTop w:val="0"/>
                              <w:marBottom w:val="0"/>
                              <w:divBdr>
                                <w:top w:val="none" w:sz="0" w:space="0" w:color="auto"/>
                                <w:left w:val="none" w:sz="0" w:space="0" w:color="auto"/>
                                <w:bottom w:val="none" w:sz="0" w:space="0" w:color="auto"/>
                                <w:right w:val="none" w:sz="0" w:space="0" w:color="auto"/>
                              </w:divBdr>
                              <w:divsChild>
                                <w:div w:id="408843417">
                                  <w:marLeft w:val="0"/>
                                  <w:marRight w:val="0"/>
                                  <w:marTop w:val="0"/>
                                  <w:marBottom w:val="0"/>
                                  <w:divBdr>
                                    <w:top w:val="none" w:sz="0" w:space="0" w:color="auto"/>
                                    <w:left w:val="none" w:sz="0" w:space="0" w:color="auto"/>
                                    <w:bottom w:val="none" w:sz="0" w:space="0" w:color="auto"/>
                                    <w:right w:val="none" w:sz="0" w:space="0" w:color="auto"/>
                                  </w:divBdr>
                                  <w:divsChild>
                                    <w:div w:id="1124933191">
                                      <w:marLeft w:val="0"/>
                                      <w:marRight w:val="0"/>
                                      <w:marTop w:val="0"/>
                                      <w:marBottom w:val="0"/>
                                      <w:divBdr>
                                        <w:top w:val="none" w:sz="0" w:space="0" w:color="auto"/>
                                        <w:left w:val="none" w:sz="0" w:space="0" w:color="auto"/>
                                        <w:bottom w:val="none" w:sz="0" w:space="0" w:color="auto"/>
                                        <w:right w:val="none" w:sz="0" w:space="0" w:color="auto"/>
                                      </w:divBdr>
                                      <w:divsChild>
                                        <w:div w:id="6808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124161">
                  <w:marLeft w:val="0"/>
                  <w:marRight w:val="0"/>
                  <w:marTop w:val="0"/>
                  <w:marBottom w:val="0"/>
                  <w:divBdr>
                    <w:top w:val="none" w:sz="0" w:space="0" w:color="auto"/>
                    <w:left w:val="none" w:sz="0" w:space="0" w:color="auto"/>
                    <w:bottom w:val="none" w:sz="0" w:space="0" w:color="auto"/>
                    <w:right w:val="none" w:sz="0" w:space="0" w:color="auto"/>
                  </w:divBdr>
                  <w:divsChild>
                    <w:div w:id="1766921997">
                      <w:marLeft w:val="0"/>
                      <w:marRight w:val="0"/>
                      <w:marTop w:val="0"/>
                      <w:marBottom w:val="0"/>
                      <w:divBdr>
                        <w:top w:val="none" w:sz="0" w:space="0" w:color="auto"/>
                        <w:left w:val="none" w:sz="0" w:space="0" w:color="auto"/>
                        <w:bottom w:val="none" w:sz="0" w:space="0" w:color="auto"/>
                        <w:right w:val="none" w:sz="0" w:space="0" w:color="auto"/>
                      </w:divBdr>
                      <w:divsChild>
                        <w:div w:id="229467412">
                          <w:marLeft w:val="0"/>
                          <w:marRight w:val="0"/>
                          <w:marTop w:val="0"/>
                          <w:marBottom w:val="0"/>
                          <w:divBdr>
                            <w:top w:val="none" w:sz="0" w:space="0" w:color="auto"/>
                            <w:left w:val="none" w:sz="0" w:space="0" w:color="auto"/>
                            <w:bottom w:val="none" w:sz="0" w:space="0" w:color="auto"/>
                            <w:right w:val="none" w:sz="0" w:space="0" w:color="auto"/>
                          </w:divBdr>
                          <w:divsChild>
                            <w:div w:id="1642268356">
                              <w:marLeft w:val="0"/>
                              <w:marRight w:val="0"/>
                              <w:marTop w:val="0"/>
                              <w:marBottom w:val="0"/>
                              <w:divBdr>
                                <w:top w:val="none" w:sz="0" w:space="0" w:color="auto"/>
                                <w:left w:val="none" w:sz="0" w:space="0" w:color="auto"/>
                                <w:bottom w:val="none" w:sz="0" w:space="0" w:color="auto"/>
                                <w:right w:val="none" w:sz="0" w:space="0" w:color="auto"/>
                              </w:divBdr>
                              <w:divsChild>
                                <w:div w:id="5328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317436">
                  <w:marLeft w:val="0"/>
                  <w:marRight w:val="0"/>
                  <w:marTop w:val="0"/>
                  <w:marBottom w:val="0"/>
                  <w:divBdr>
                    <w:top w:val="none" w:sz="0" w:space="0" w:color="auto"/>
                    <w:left w:val="none" w:sz="0" w:space="0" w:color="auto"/>
                    <w:bottom w:val="none" w:sz="0" w:space="0" w:color="auto"/>
                    <w:right w:val="none" w:sz="0" w:space="0" w:color="auto"/>
                  </w:divBdr>
                  <w:divsChild>
                    <w:div w:id="1602910949">
                      <w:marLeft w:val="0"/>
                      <w:marRight w:val="0"/>
                      <w:marTop w:val="0"/>
                      <w:marBottom w:val="0"/>
                      <w:divBdr>
                        <w:top w:val="none" w:sz="0" w:space="0" w:color="auto"/>
                        <w:left w:val="none" w:sz="0" w:space="0" w:color="auto"/>
                        <w:bottom w:val="none" w:sz="0" w:space="0" w:color="auto"/>
                        <w:right w:val="none" w:sz="0" w:space="0" w:color="auto"/>
                      </w:divBdr>
                      <w:divsChild>
                        <w:div w:id="465242328">
                          <w:marLeft w:val="0"/>
                          <w:marRight w:val="0"/>
                          <w:marTop w:val="0"/>
                          <w:marBottom w:val="0"/>
                          <w:divBdr>
                            <w:top w:val="none" w:sz="0" w:space="0" w:color="auto"/>
                            <w:left w:val="none" w:sz="0" w:space="0" w:color="auto"/>
                            <w:bottom w:val="none" w:sz="0" w:space="0" w:color="auto"/>
                            <w:right w:val="none" w:sz="0" w:space="0" w:color="auto"/>
                          </w:divBdr>
                          <w:divsChild>
                            <w:div w:id="1630624895">
                              <w:marLeft w:val="0"/>
                              <w:marRight w:val="0"/>
                              <w:marTop w:val="0"/>
                              <w:marBottom w:val="0"/>
                              <w:divBdr>
                                <w:top w:val="none" w:sz="0" w:space="0" w:color="auto"/>
                                <w:left w:val="none" w:sz="0" w:space="0" w:color="auto"/>
                                <w:bottom w:val="none" w:sz="0" w:space="0" w:color="auto"/>
                                <w:right w:val="none" w:sz="0" w:space="0" w:color="auto"/>
                              </w:divBdr>
                              <w:divsChild>
                                <w:div w:id="10291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772989">
                  <w:marLeft w:val="0"/>
                  <w:marRight w:val="0"/>
                  <w:marTop w:val="0"/>
                  <w:marBottom w:val="0"/>
                  <w:divBdr>
                    <w:top w:val="none" w:sz="0" w:space="0" w:color="auto"/>
                    <w:left w:val="none" w:sz="0" w:space="0" w:color="auto"/>
                    <w:bottom w:val="none" w:sz="0" w:space="0" w:color="auto"/>
                    <w:right w:val="none" w:sz="0" w:space="0" w:color="auto"/>
                  </w:divBdr>
                  <w:divsChild>
                    <w:div w:id="1219588894">
                      <w:marLeft w:val="0"/>
                      <w:marRight w:val="0"/>
                      <w:marTop w:val="0"/>
                      <w:marBottom w:val="0"/>
                      <w:divBdr>
                        <w:top w:val="none" w:sz="0" w:space="0" w:color="auto"/>
                        <w:left w:val="none" w:sz="0" w:space="0" w:color="auto"/>
                        <w:bottom w:val="none" w:sz="0" w:space="0" w:color="auto"/>
                        <w:right w:val="none" w:sz="0" w:space="0" w:color="auto"/>
                      </w:divBdr>
                      <w:divsChild>
                        <w:div w:id="1441687087">
                          <w:marLeft w:val="0"/>
                          <w:marRight w:val="0"/>
                          <w:marTop w:val="0"/>
                          <w:marBottom w:val="0"/>
                          <w:divBdr>
                            <w:top w:val="none" w:sz="0" w:space="0" w:color="auto"/>
                            <w:left w:val="none" w:sz="0" w:space="0" w:color="auto"/>
                            <w:bottom w:val="none" w:sz="0" w:space="0" w:color="auto"/>
                            <w:right w:val="none" w:sz="0" w:space="0" w:color="auto"/>
                          </w:divBdr>
                          <w:divsChild>
                            <w:div w:id="1806778251">
                              <w:marLeft w:val="0"/>
                              <w:marRight w:val="0"/>
                              <w:marTop w:val="0"/>
                              <w:marBottom w:val="0"/>
                              <w:divBdr>
                                <w:top w:val="none" w:sz="0" w:space="0" w:color="auto"/>
                                <w:left w:val="none" w:sz="0" w:space="0" w:color="auto"/>
                                <w:bottom w:val="none" w:sz="0" w:space="0" w:color="auto"/>
                                <w:right w:val="none" w:sz="0" w:space="0" w:color="auto"/>
                              </w:divBdr>
                              <w:divsChild>
                                <w:div w:id="1979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25193">
                      <w:marLeft w:val="0"/>
                      <w:marRight w:val="0"/>
                      <w:marTop w:val="0"/>
                      <w:marBottom w:val="0"/>
                      <w:divBdr>
                        <w:top w:val="none" w:sz="0" w:space="0" w:color="auto"/>
                        <w:left w:val="none" w:sz="0" w:space="0" w:color="auto"/>
                        <w:bottom w:val="none" w:sz="0" w:space="0" w:color="auto"/>
                        <w:right w:val="none" w:sz="0" w:space="0" w:color="auto"/>
                      </w:divBdr>
                      <w:divsChild>
                        <w:div w:id="94256241">
                          <w:marLeft w:val="0"/>
                          <w:marRight w:val="0"/>
                          <w:marTop w:val="0"/>
                          <w:marBottom w:val="0"/>
                          <w:divBdr>
                            <w:top w:val="none" w:sz="0" w:space="0" w:color="auto"/>
                            <w:left w:val="none" w:sz="0" w:space="0" w:color="auto"/>
                            <w:bottom w:val="none" w:sz="0" w:space="0" w:color="auto"/>
                            <w:right w:val="none" w:sz="0" w:space="0" w:color="auto"/>
                          </w:divBdr>
                          <w:divsChild>
                            <w:div w:id="1539388323">
                              <w:marLeft w:val="0"/>
                              <w:marRight w:val="0"/>
                              <w:marTop w:val="0"/>
                              <w:marBottom w:val="0"/>
                              <w:divBdr>
                                <w:top w:val="none" w:sz="0" w:space="0" w:color="auto"/>
                                <w:left w:val="none" w:sz="0" w:space="0" w:color="auto"/>
                                <w:bottom w:val="none" w:sz="0" w:space="0" w:color="auto"/>
                                <w:right w:val="none" w:sz="0" w:space="0" w:color="auto"/>
                              </w:divBdr>
                              <w:divsChild>
                                <w:div w:id="20245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245827">
                  <w:marLeft w:val="0"/>
                  <w:marRight w:val="0"/>
                  <w:marTop w:val="0"/>
                  <w:marBottom w:val="0"/>
                  <w:divBdr>
                    <w:top w:val="none" w:sz="0" w:space="0" w:color="auto"/>
                    <w:left w:val="none" w:sz="0" w:space="0" w:color="auto"/>
                    <w:bottom w:val="none" w:sz="0" w:space="0" w:color="auto"/>
                    <w:right w:val="none" w:sz="0" w:space="0" w:color="auto"/>
                  </w:divBdr>
                  <w:divsChild>
                    <w:div w:id="806242979">
                      <w:marLeft w:val="0"/>
                      <w:marRight w:val="0"/>
                      <w:marTop w:val="0"/>
                      <w:marBottom w:val="0"/>
                      <w:divBdr>
                        <w:top w:val="none" w:sz="0" w:space="0" w:color="auto"/>
                        <w:left w:val="none" w:sz="0" w:space="0" w:color="auto"/>
                        <w:bottom w:val="none" w:sz="0" w:space="0" w:color="auto"/>
                        <w:right w:val="none" w:sz="0" w:space="0" w:color="auto"/>
                      </w:divBdr>
                      <w:divsChild>
                        <w:div w:id="1161502186">
                          <w:marLeft w:val="0"/>
                          <w:marRight w:val="0"/>
                          <w:marTop w:val="0"/>
                          <w:marBottom w:val="0"/>
                          <w:divBdr>
                            <w:top w:val="none" w:sz="0" w:space="0" w:color="auto"/>
                            <w:left w:val="none" w:sz="0" w:space="0" w:color="auto"/>
                            <w:bottom w:val="none" w:sz="0" w:space="0" w:color="auto"/>
                            <w:right w:val="none" w:sz="0" w:space="0" w:color="auto"/>
                          </w:divBdr>
                          <w:divsChild>
                            <w:div w:id="1451827094">
                              <w:marLeft w:val="0"/>
                              <w:marRight w:val="0"/>
                              <w:marTop w:val="0"/>
                              <w:marBottom w:val="0"/>
                              <w:divBdr>
                                <w:top w:val="none" w:sz="0" w:space="0" w:color="auto"/>
                                <w:left w:val="none" w:sz="0" w:space="0" w:color="auto"/>
                                <w:bottom w:val="none" w:sz="0" w:space="0" w:color="auto"/>
                                <w:right w:val="none" w:sz="0" w:space="0" w:color="auto"/>
                              </w:divBdr>
                              <w:divsChild>
                                <w:div w:id="15773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95638">
                      <w:marLeft w:val="0"/>
                      <w:marRight w:val="0"/>
                      <w:marTop w:val="0"/>
                      <w:marBottom w:val="0"/>
                      <w:divBdr>
                        <w:top w:val="none" w:sz="0" w:space="0" w:color="auto"/>
                        <w:left w:val="none" w:sz="0" w:space="0" w:color="auto"/>
                        <w:bottom w:val="none" w:sz="0" w:space="0" w:color="auto"/>
                        <w:right w:val="none" w:sz="0" w:space="0" w:color="auto"/>
                      </w:divBdr>
                      <w:divsChild>
                        <w:div w:id="916741771">
                          <w:marLeft w:val="0"/>
                          <w:marRight w:val="0"/>
                          <w:marTop w:val="0"/>
                          <w:marBottom w:val="0"/>
                          <w:divBdr>
                            <w:top w:val="none" w:sz="0" w:space="0" w:color="auto"/>
                            <w:left w:val="none" w:sz="0" w:space="0" w:color="auto"/>
                            <w:bottom w:val="none" w:sz="0" w:space="0" w:color="auto"/>
                            <w:right w:val="none" w:sz="0" w:space="0" w:color="auto"/>
                          </w:divBdr>
                          <w:divsChild>
                            <w:div w:id="857960611">
                              <w:marLeft w:val="0"/>
                              <w:marRight w:val="0"/>
                              <w:marTop w:val="0"/>
                              <w:marBottom w:val="0"/>
                              <w:divBdr>
                                <w:top w:val="none" w:sz="0" w:space="0" w:color="auto"/>
                                <w:left w:val="none" w:sz="0" w:space="0" w:color="auto"/>
                                <w:bottom w:val="none" w:sz="0" w:space="0" w:color="auto"/>
                                <w:right w:val="none" w:sz="0" w:space="0" w:color="auto"/>
                              </w:divBdr>
                              <w:divsChild>
                                <w:div w:id="16255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24697">
                  <w:marLeft w:val="0"/>
                  <w:marRight w:val="0"/>
                  <w:marTop w:val="0"/>
                  <w:marBottom w:val="0"/>
                  <w:divBdr>
                    <w:top w:val="none" w:sz="0" w:space="0" w:color="auto"/>
                    <w:left w:val="none" w:sz="0" w:space="0" w:color="auto"/>
                    <w:bottom w:val="none" w:sz="0" w:space="0" w:color="auto"/>
                    <w:right w:val="none" w:sz="0" w:space="0" w:color="auto"/>
                  </w:divBdr>
                  <w:divsChild>
                    <w:div w:id="35155973">
                      <w:marLeft w:val="0"/>
                      <w:marRight w:val="0"/>
                      <w:marTop w:val="0"/>
                      <w:marBottom w:val="0"/>
                      <w:divBdr>
                        <w:top w:val="none" w:sz="0" w:space="0" w:color="auto"/>
                        <w:left w:val="none" w:sz="0" w:space="0" w:color="auto"/>
                        <w:bottom w:val="none" w:sz="0" w:space="0" w:color="auto"/>
                        <w:right w:val="none" w:sz="0" w:space="0" w:color="auto"/>
                      </w:divBdr>
                      <w:divsChild>
                        <w:div w:id="447354535">
                          <w:marLeft w:val="0"/>
                          <w:marRight w:val="0"/>
                          <w:marTop w:val="0"/>
                          <w:marBottom w:val="0"/>
                          <w:divBdr>
                            <w:top w:val="none" w:sz="0" w:space="0" w:color="auto"/>
                            <w:left w:val="none" w:sz="0" w:space="0" w:color="auto"/>
                            <w:bottom w:val="none" w:sz="0" w:space="0" w:color="auto"/>
                            <w:right w:val="none" w:sz="0" w:space="0" w:color="auto"/>
                          </w:divBdr>
                          <w:divsChild>
                            <w:div w:id="896818837">
                              <w:marLeft w:val="0"/>
                              <w:marRight w:val="0"/>
                              <w:marTop w:val="0"/>
                              <w:marBottom w:val="0"/>
                              <w:divBdr>
                                <w:top w:val="none" w:sz="0" w:space="0" w:color="auto"/>
                                <w:left w:val="none" w:sz="0" w:space="0" w:color="auto"/>
                                <w:bottom w:val="none" w:sz="0" w:space="0" w:color="auto"/>
                                <w:right w:val="none" w:sz="0" w:space="0" w:color="auto"/>
                              </w:divBdr>
                              <w:divsChild>
                                <w:div w:id="9167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355">
                      <w:marLeft w:val="0"/>
                      <w:marRight w:val="0"/>
                      <w:marTop w:val="0"/>
                      <w:marBottom w:val="0"/>
                      <w:divBdr>
                        <w:top w:val="none" w:sz="0" w:space="0" w:color="auto"/>
                        <w:left w:val="none" w:sz="0" w:space="0" w:color="auto"/>
                        <w:bottom w:val="none" w:sz="0" w:space="0" w:color="auto"/>
                        <w:right w:val="none" w:sz="0" w:space="0" w:color="auto"/>
                      </w:divBdr>
                      <w:divsChild>
                        <w:div w:id="293146868">
                          <w:marLeft w:val="0"/>
                          <w:marRight w:val="0"/>
                          <w:marTop w:val="0"/>
                          <w:marBottom w:val="0"/>
                          <w:divBdr>
                            <w:top w:val="none" w:sz="0" w:space="0" w:color="auto"/>
                            <w:left w:val="none" w:sz="0" w:space="0" w:color="auto"/>
                            <w:bottom w:val="none" w:sz="0" w:space="0" w:color="auto"/>
                            <w:right w:val="none" w:sz="0" w:space="0" w:color="auto"/>
                          </w:divBdr>
                          <w:divsChild>
                            <w:div w:id="1580167316">
                              <w:marLeft w:val="0"/>
                              <w:marRight w:val="0"/>
                              <w:marTop w:val="0"/>
                              <w:marBottom w:val="0"/>
                              <w:divBdr>
                                <w:top w:val="none" w:sz="0" w:space="0" w:color="auto"/>
                                <w:left w:val="none" w:sz="0" w:space="0" w:color="auto"/>
                                <w:bottom w:val="none" w:sz="0" w:space="0" w:color="auto"/>
                                <w:right w:val="none" w:sz="0" w:space="0" w:color="auto"/>
                              </w:divBdr>
                              <w:divsChild>
                                <w:div w:id="7197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39294">
                  <w:marLeft w:val="0"/>
                  <w:marRight w:val="0"/>
                  <w:marTop w:val="0"/>
                  <w:marBottom w:val="0"/>
                  <w:divBdr>
                    <w:top w:val="none" w:sz="0" w:space="0" w:color="auto"/>
                    <w:left w:val="none" w:sz="0" w:space="0" w:color="auto"/>
                    <w:bottom w:val="none" w:sz="0" w:space="0" w:color="auto"/>
                    <w:right w:val="none" w:sz="0" w:space="0" w:color="auto"/>
                  </w:divBdr>
                  <w:divsChild>
                    <w:div w:id="929967215">
                      <w:marLeft w:val="0"/>
                      <w:marRight w:val="0"/>
                      <w:marTop w:val="0"/>
                      <w:marBottom w:val="0"/>
                      <w:divBdr>
                        <w:top w:val="none" w:sz="0" w:space="0" w:color="auto"/>
                        <w:left w:val="none" w:sz="0" w:space="0" w:color="auto"/>
                        <w:bottom w:val="none" w:sz="0" w:space="0" w:color="auto"/>
                        <w:right w:val="none" w:sz="0" w:space="0" w:color="auto"/>
                      </w:divBdr>
                      <w:divsChild>
                        <w:div w:id="1700005693">
                          <w:marLeft w:val="0"/>
                          <w:marRight w:val="0"/>
                          <w:marTop w:val="0"/>
                          <w:marBottom w:val="0"/>
                          <w:divBdr>
                            <w:top w:val="none" w:sz="0" w:space="0" w:color="auto"/>
                            <w:left w:val="none" w:sz="0" w:space="0" w:color="auto"/>
                            <w:bottom w:val="none" w:sz="0" w:space="0" w:color="auto"/>
                            <w:right w:val="none" w:sz="0" w:space="0" w:color="auto"/>
                          </w:divBdr>
                          <w:divsChild>
                            <w:div w:id="1656034908">
                              <w:marLeft w:val="0"/>
                              <w:marRight w:val="0"/>
                              <w:marTop w:val="0"/>
                              <w:marBottom w:val="0"/>
                              <w:divBdr>
                                <w:top w:val="none" w:sz="0" w:space="0" w:color="auto"/>
                                <w:left w:val="none" w:sz="0" w:space="0" w:color="auto"/>
                                <w:bottom w:val="none" w:sz="0" w:space="0" w:color="auto"/>
                                <w:right w:val="none" w:sz="0" w:space="0" w:color="auto"/>
                              </w:divBdr>
                              <w:divsChild>
                                <w:div w:id="20662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1414">
                      <w:marLeft w:val="0"/>
                      <w:marRight w:val="0"/>
                      <w:marTop w:val="0"/>
                      <w:marBottom w:val="0"/>
                      <w:divBdr>
                        <w:top w:val="none" w:sz="0" w:space="0" w:color="auto"/>
                        <w:left w:val="none" w:sz="0" w:space="0" w:color="auto"/>
                        <w:bottom w:val="none" w:sz="0" w:space="0" w:color="auto"/>
                        <w:right w:val="none" w:sz="0" w:space="0" w:color="auto"/>
                      </w:divBdr>
                      <w:divsChild>
                        <w:div w:id="126822324">
                          <w:marLeft w:val="0"/>
                          <w:marRight w:val="0"/>
                          <w:marTop w:val="0"/>
                          <w:marBottom w:val="0"/>
                          <w:divBdr>
                            <w:top w:val="none" w:sz="0" w:space="0" w:color="auto"/>
                            <w:left w:val="none" w:sz="0" w:space="0" w:color="auto"/>
                            <w:bottom w:val="none" w:sz="0" w:space="0" w:color="auto"/>
                            <w:right w:val="none" w:sz="0" w:space="0" w:color="auto"/>
                          </w:divBdr>
                          <w:divsChild>
                            <w:div w:id="1109198505">
                              <w:marLeft w:val="0"/>
                              <w:marRight w:val="0"/>
                              <w:marTop w:val="0"/>
                              <w:marBottom w:val="0"/>
                              <w:divBdr>
                                <w:top w:val="none" w:sz="0" w:space="0" w:color="auto"/>
                                <w:left w:val="none" w:sz="0" w:space="0" w:color="auto"/>
                                <w:bottom w:val="none" w:sz="0" w:space="0" w:color="auto"/>
                                <w:right w:val="none" w:sz="0" w:space="0" w:color="auto"/>
                              </w:divBdr>
                              <w:divsChild>
                                <w:div w:id="9687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037212">
                  <w:marLeft w:val="0"/>
                  <w:marRight w:val="0"/>
                  <w:marTop w:val="0"/>
                  <w:marBottom w:val="0"/>
                  <w:divBdr>
                    <w:top w:val="none" w:sz="0" w:space="0" w:color="auto"/>
                    <w:left w:val="none" w:sz="0" w:space="0" w:color="auto"/>
                    <w:bottom w:val="none" w:sz="0" w:space="0" w:color="auto"/>
                    <w:right w:val="none" w:sz="0" w:space="0" w:color="auto"/>
                  </w:divBdr>
                </w:div>
                <w:div w:id="200173655">
                  <w:marLeft w:val="0"/>
                  <w:marRight w:val="0"/>
                  <w:marTop w:val="0"/>
                  <w:marBottom w:val="0"/>
                  <w:divBdr>
                    <w:top w:val="none" w:sz="0" w:space="0" w:color="auto"/>
                    <w:left w:val="none" w:sz="0" w:space="0" w:color="auto"/>
                    <w:bottom w:val="none" w:sz="0" w:space="0" w:color="auto"/>
                    <w:right w:val="none" w:sz="0" w:space="0" w:color="auto"/>
                  </w:divBdr>
                </w:div>
                <w:div w:id="1197159533">
                  <w:marLeft w:val="0"/>
                  <w:marRight w:val="0"/>
                  <w:marTop w:val="0"/>
                  <w:marBottom w:val="0"/>
                  <w:divBdr>
                    <w:top w:val="none" w:sz="0" w:space="0" w:color="auto"/>
                    <w:left w:val="none" w:sz="0" w:space="0" w:color="auto"/>
                    <w:bottom w:val="none" w:sz="0" w:space="0" w:color="auto"/>
                    <w:right w:val="none" w:sz="0" w:space="0" w:color="auto"/>
                  </w:divBdr>
                </w:div>
                <w:div w:id="1162621449">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Isha Gupta</cp:lastModifiedBy>
  <cp:revision>2</cp:revision>
  <dcterms:created xsi:type="dcterms:W3CDTF">2024-09-08T17:14:00Z</dcterms:created>
  <dcterms:modified xsi:type="dcterms:W3CDTF">2024-09-08T17:14:00Z</dcterms:modified>
</cp:coreProperties>
</file>