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IAQF 2026 — Question 2: Stablecoin Dynamics</w:t>
      </w:r>
    </w:p>
    <w:p>
      <w:pPr>
        <w:jc w:val="center"/>
      </w:pPr>
      <w:r>
        <w:rPr>
          <w:i/>
          <w:sz w:val="22"/>
        </w:rPr>
        <w:t>Technical Note + Deliverable Documentation (Binance &amp; Coinbase, March 1–21, 2023)</w:t>
      </w:r>
    </w:p>
    <w:p/>
    <w:p>
      <w:r>
        <w:rPr>
          <w:b/>
          <w:sz w:val="28"/>
        </w:rPr>
        <w:t>1. What this deliverable is</w:t>
      </w:r>
    </w:p>
    <w:p>
      <w:r>
        <w:t>This package provides a reproducible analysis pipeline for measuring stablecoin market stress through cross-quote BTC pricing (BTC/USD vs BTC/USDT vs BTC/USDC) across Binance and Coinbase. Outputs include (i) stablecoin premium time series, (ii) regime comparisons around the SVB/USDC episode, (iii) lead–lag tests of price discovery between exchanges, and (iv) a VAR model with impulse responses to quantify dynamic spillovers.</w:t>
      </w:r>
    </w:p>
    <w:p>
      <w:r>
        <w:rPr>
          <w:b/>
          <w:sz w:val="28"/>
        </w:rPr>
        <w:t>2. Data description and alignment</w:t>
      </w:r>
    </w:p>
    <w:p>
      <w:r>
        <w:rPr>
          <w:b/>
          <w:sz w:val="24"/>
        </w:rPr>
        <w:t>2.1 Data sources and frequency</w:t>
      </w:r>
    </w:p>
    <w:p>
      <w:pPr>
        <w:pStyle w:val="ListBullet"/>
      </w:pPr>
      <w:r>
        <w:t>1-minute OHLCV candles for BTC/USD, BTC/USDT, BTC/USDC on Binance and Coinbase.</w:t>
      </w:r>
    </w:p>
    <w:p>
      <w:pPr>
        <w:pStyle w:val="ListBullet"/>
      </w:pPr>
      <w:r>
        <w:t>Sample period: 2023-03-01 00:00 UTC to 2023-03-21 23:59 UTC.</w:t>
      </w:r>
    </w:p>
    <w:p>
      <w:pPr>
        <w:pStyle w:val="ListBullet"/>
      </w:pPr>
      <w:r>
        <w:t>All timestamps converted to UTC and aligned by inner-joining on timestamp.</w:t>
      </w:r>
    </w:p>
    <w:p>
      <w:r>
        <w:rPr>
          <w:b/>
          <w:sz w:val="24"/>
        </w:rPr>
        <w:t>2.2 Files expected in /data</w:t>
      </w:r>
    </w:p>
    <w:p>
      <w:r>
        <w:t>The pipeline expects the following CSVs (1-minute candles):</w:t>
      </w:r>
    </w:p>
    <w:p>
      <w:pPr>
        <w:pStyle w:val="ListBullet"/>
      </w:pPr>
      <w:r>
        <w:t>data/coinbase/BTC_USD_coinbase.csv</w:t>
      </w:r>
    </w:p>
    <w:p>
      <w:pPr>
        <w:pStyle w:val="ListBullet"/>
      </w:pPr>
      <w:r>
        <w:t>data/coinbase/BTC_USDT_coinbase.csv</w:t>
      </w:r>
    </w:p>
    <w:p>
      <w:pPr>
        <w:pStyle w:val="ListBullet"/>
      </w:pPr>
      <w:r>
        <w:t>data/coinbase/BTC_USDC_coinbase.csv</w:t>
      </w:r>
    </w:p>
    <w:p>
      <w:pPr>
        <w:pStyle w:val="ListBullet"/>
      </w:pPr>
      <w:r>
        <w:t>data/binance_clean/BTC_USD_binance.csv</w:t>
      </w:r>
    </w:p>
    <w:p>
      <w:pPr>
        <w:pStyle w:val="ListBullet"/>
      </w:pPr>
      <w:r>
        <w:t>data/binance_clean/BTC_USDT_binance.csv</w:t>
      </w:r>
    </w:p>
    <w:p>
      <w:pPr>
        <w:pStyle w:val="ListBullet"/>
      </w:pPr>
      <w:r>
        <w:t>data/binance_clean/BTC_USDC_binance.csv</w:t>
      </w:r>
    </w:p>
    <w:p>
      <w:r>
        <w:rPr>
          <w:b/>
          <w:sz w:val="24"/>
        </w:rPr>
        <w:t>2.3 Key quality checks</w:t>
      </w:r>
    </w:p>
    <w:p>
      <w:pPr>
        <w:pStyle w:val="ListBullet"/>
      </w:pPr>
      <w:r>
        <w:t>No duplicate timestamps after cleaning.</w:t>
      </w:r>
    </w:p>
    <w:p>
      <w:pPr>
        <w:pStyle w:val="ListBullet"/>
      </w:pPr>
      <w:r>
        <w:t>Timezone enforced as UTC-aware datetimes.</w:t>
      </w:r>
    </w:p>
    <w:p>
      <w:pPr>
        <w:pStyle w:val="ListBullet"/>
      </w:pPr>
      <w:r>
        <w:t>Sanity checks: row counts + min/max timestamps printed at load-time.</w:t>
      </w:r>
    </w:p>
    <w:p>
      <w:pPr>
        <w:pStyle w:val="ListBullet"/>
      </w:pPr>
      <w:r>
        <w:t>If any premium series is constant (near-zero variance), lead–lag/VAR diagnostics can fail; drop or fix the data.</w:t>
      </w:r>
    </w:p>
    <w:p>
      <w:r>
        <w:rPr>
          <w:b/>
          <w:sz w:val="28"/>
        </w:rPr>
        <w:t>3. Models and equations</w:t>
      </w:r>
    </w:p>
    <w:p>
      <w:r>
        <w:rPr>
          <w:b/>
          <w:sz w:val="24"/>
        </w:rPr>
        <w:t>3.1 Stablecoin premium (core metric)</w:t>
      </w:r>
    </w:p>
    <w:p>
      <w:r>
        <w:t>Premium in basis points (bps):</w:t>
      </w:r>
    </w:p>
    <w:p>
      <w:r>
        <w:rPr>
          <w:rFonts w:ascii="Consolas" w:hAnsi="Consolas"/>
          <w:sz w:val="20"/>
        </w:rPr>
        <w:t>Premium_stable(t) = ( P(BTC / stable, t) / P(BTC / USD, t) − 1 ) × 10,000   (bps)</w:t>
      </w:r>
    </w:p>
    <w:p>
      <w:r>
        <w:t>Premium &gt; 0 implies BTC is more expensive in the stablecoin than in USD, consistent with the stablecoin trading below $1 (discount). Premium &lt; 0 implies the stablecoin trades above $1 (premium).</w:t>
      </w:r>
    </w:p>
    <w:p>
      <w:r>
        <w:rPr>
          <w:b/>
          <w:sz w:val="24"/>
        </w:rPr>
        <w:t>3.2 Regime comparison (normal vs crisis)</w:t>
      </w:r>
    </w:p>
    <w:p>
      <w:r>
        <w:t>We compare premiums inside the SVB event window (Mar 10–13, 2023 UTC) vs the rest using a Welch two-sample t-test.</w:t>
      </w:r>
    </w:p>
    <w:p>
      <w:r>
        <w:rPr>
          <w:rFonts w:ascii="Consolas" w:hAnsi="Consolas"/>
          <w:sz w:val="20"/>
        </w:rPr>
        <w:t>H0: E[Premium | crisis] = E[Premium | normal]     vs     H1: not equal</w:t>
      </w:r>
    </w:p>
    <w:p>
      <w:r>
        <w:rPr>
          <w:b/>
          <w:sz w:val="24"/>
        </w:rPr>
        <w:t>3.3 Lead–lag regression (price discovery)</w:t>
      </w:r>
    </w:p>
    <w:p>
      <w:r>
        <w:t>Regression on premium changes with HAC-robust inference:</w:t>
      </w:r>
    </w:p>
    <w:p>
      <w:r>
        <w:rPr>
          <w:rFonts w:ascii="Consolas" w:hAnsi="Consolas"/>
          <w:sz w:val="20"/>
        </w:rPr>
        <w:t>ΔB_t = α + Σ_{k=0..K} β_k ΔA_{t−k} + ε_t</w:t>
      </w:r>
    </w:p>
    <w:p>
      <w:r>
        <w:t>If β_{k&gt;0} are significant, A is said to lead B. The contemporaneous β0 captures same-minute transmission.</w:t>
      </w:r>
    </w:p>
    <w:p>
      <w:r>
        <w:rPr>
          <w:b/>
          <w:sz w:val="24"/>
        </w:rPr>
        <w:t>3.4 VAR + impulse responses</w:t>
      </w:r>
    </w:p>
    <w:p>
      <w:r>
        <w:t>Vector autoregression on a non-constant subset of premium series:</w:t>
      </w:r>
    </w:p>
    <w:p>
      <w:r>
        <w:rPr>
          <w:rFonts w:ascii="Consolas" w:hAnsi="Consolas"/>
          <w:sz w:val="20"/>
        </w:rPr>
        <w:t>y_t = c + A1 y_{t−1} + … + Ap y_{t−p} + u_t</w:t>
      </w:r>
    </w:p>
    <w:p>
      <w:r>
        <w:t>Impulse Response Functions (IRFs) quantify the response path to a one-unit shock in one series.</w:t>
      </w:r>
    </w:p>
    <w:p>
      <w:r>
        <w:rPr>
          <w:b/>
          <w:sz w:val="24"/>
        </w:rPr>
        <w:t>3.5 Depeg persistence / half-life</w:t>
      </w:r>
    </w:p>
    <w:p>
      <w:r>
        <w:t>AR(1) persistence converted to a half-life:</w:t>
      </w:r>
    </w:p>
    <w:p>
      <w:r>
        <w:rPr>
          <w:rFonts w:ascii="Consolas" w:hAnsi="Consolas"/>
          <w:sz w:val="20"/>
        </w:rPr>
        <w:t>Premium_t = α + φ Premium_{t−1} + ε_t</w:t>
      </w:r>
    </w:p>
    <w:p>
      <w:r>
        <w:rPr>
          <w:rFonts w:ascii="Consolas" w:hAnsi="Consolas"/>
          <w:sz w:val="20"/>
        </w:rPr>
        <w:t>Half-life = − ln(2) / ln(φ)   (minutes)   for 0 &lt; φ &lt; 1</w:t>
      </w:r>
    </w:p>
    <w:p>
      <w:r>
        <w:rPr>
          <w:b/>
          <w:sz w:val="28"/>
        </w:rPr>
        <w:t>4. Empirical results (from your outputs/)</w:t>
      </w:r>
    </w:p>
    <w:p>
      <w:r>
        <w:rPr>
          <w:b/>
          <w:sz w:val="24"/>
        </w:rPr>
        <w:t>4.1 Table 1 — Exchange-level premium statistics</w:t>
      </w:r>
    </w:p>
    <w:p>
      <w:r>
        <w:t>From q2_table1_exchange_stats.csv: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Series</w:t>
            </w:r>
          </w:p>
        </w:tc>
        <w:tc>
          <w:tcPr>
            <w:tcW w:type="dxa" w:w="1234"/>
          </w:tcPr>
          <w:p>
            <w:r>
              <w:t>Mean (bps)</w:t>
            </w:r>
          </w:p>
        </w:tc>
        <w:tc>
          <w:tcPr>
            <w:tcW w:type="dxa" w:w="1234"/>
          </w:tcPr>
          <w:p>
            <w:r>
              <w:t>Std (bps)</w:t>
            </w:r>
          </w:p>
        </w:tc>
        <w:tc>
          <w:tcPr>
            <w:tcW w:type="dxa" w:w="1234"/>
          </w:tcPr>
          <w:p>
            <w:r>
              <w:t>Min (bps)</w:t>
            </w:r>
          </w:p>
        </w:tc>
        <w:tc>
          <w:tcPr>
            <w:tcW w:type="dxa" w:w="1234"/>
          </w:tcPr>
          <w:p>
            <w:r>
              <w:t>Max (bps)</w:t>
            </w:r>
          </w:p>
        </w:tc>
        <w:tc>
          <w:tcPr>
            <w:tcW w:type="dxa" w:w="1234"/>
          </w:tcPr>
          <w:p>
            <w:r>
              <w:t>Skew</w:t>
            </w:r>
          </w:p>
        </w:tc>
        <w:tc>
          <w:tcPr>
            <w:tcW w:type="dxa" w:w="1234"/>
          </w:tcPr>
          <w:p>
            <w:r>
              <w:t>Kurtosis</w:t>
            </w:r>
          </w:p>
        </w:tc>
      </w:tr>
      <w:tr>
        <w:tc>
          <w:tcPr>
            <w:tcW w:type="dxa" w:w="1234"/>
          </w:tcPr>
          <w:p>
            <w:r>
              <w:t>USDT_coinbase</w:t>
            </w:r>
          </w:p>
        </w:tc>
        <w:tc>
          <w:tcPr>
            <w:tcW w:type="dxa" w:w="1234"/>
          </w:tcPr>
          <w:p>
            <w:r>
              <w:t>-24.710</w:t>
            </w:r>
          </w:p>
        </w:tc>
        <w:tc>
          <w:tcPr>
            <w:tcW w:type="dxa" w:w="1234"/>
          </w:tcPr>
          <w:p>
            <w:r>
              <w:t>29.414</w:t>
            </w:r>
          </w:p>
        </w:tc>
        <w:tc>
          <w:tcPr>
            <w:tcW w:type="dxa" w:w="1234"/>
          </w:tcPr>
          <w:p>
            <w:r>
              <w:t>-190.391</w:t>
            </w:r>
          </w:p>
        </w:tc>
        <w:tc>
          <w:tcPr>
            <w:tcW w:type="dxa" w:w="1234"/>
          </w:tcPr>
          <w:p>
            <w:r>
              <w:t>31.761</w:t>
            </w:r>
          </w:p>
        </w:tc>
        <w:tc>
          <w:tcPr>
            <w:tcW w:type="dxa" w:w="1234"/>
          </w:tcPr>
          <w:p>
            <w:r>
              <w:t>-1.518</w:t>
            </w:r>
          </w:p>
        </w:tc>
        <w:tc>
          <w:tcPr>
            <w:tcW w:type="dxa" w:w="1234"/>
          </w:tcPr>
          <w:p>
            <w:r>
              <w:t>2.635</w:t>
            </w:r>
          </w:p>
        </w:tc>
      </w:tr>
      <w:tr>
        <w:tc>
          <w:tcPr>
            <w:tcW w:type="dxa" w:w="1234"/>
          </w:tcPr>
          <w:p>
            <w:r>
              <w:t>USDC_coinbase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USDT_binance</w:t>
            </w:r>
          </w:p>
        </w:tc>
        <w:tc>
          <w:tcPr>
            <w:tcW w:type="dxa" w:w="1234"/>
          </w:tcPr>
          <w:p>
            <w:r>
              <w:t>-23.646</w:t>
            </w:r>
          </w:p>
        </w:tc>
        <w:tc>
          <w:tcPr>
            <w:tcW w:type="dxa" w:w="1234"/>
          </w:tcPr>
          <w:p>
            <w:r>
              <w:t>29.151</w:t>
            </w:r>
          </w:p>
        </w:tc>
        <w:tc>
          <w:tcPr>
            <w:tcW w:type="dxa" w:w="1234"/>
          </w:tcPr>
          <w:p>
            <w:r>
              <w:t>-179.017</w:t>
            </w:r>
          </w:p>
        </w:tc>
        <w:tc>
          <w:tcPr>
            <w:tcW w:type="dxa" w:w="1234"/>
          </w:tcPr>
          <w:p>
            <w:r>
              <w:t>37.149</w:t>
            </w:r>
          </w:p>
        </w:tc>
        <w:tc>
          <w:tcPr>
            <w:tcW w:type="dxa" w:w="1234"/>
          </w:tcPr>
          <w:p>
            <w:r>
              <w:t>-1.565</w:t>
            </w:r>
          </w:p>
        </w:tc>
        <w:tc>
          <w:tcPr>
            <w:tcW w:type="dxa" w:w="1234"/>
          </w:tcPr>
          <w:p>
            <w:r>
              <w:t>2.728</w:t>
            </w:r>
          </w:p>
        </w:tc>
      </w:tr>
      <w:tr>
        <w:tc>
          <w:tcPr>
            <w:tcW w:type="dxa" w:w="1234"/>
          </w:tcPr>
          <w:p>
            <w:r>
              <w:t>USDC_binance</w:t>
            </w:r>
          </w:p>
        </w:tc>
        <w:tc>
          <w:tcPr>
            <w:tcW w:type="dxa" w:w="1234"/>
          </w:tcPr>
          <w:p>
            <w:r>
              <w:t>48.279</w:t>
            </w:r>
          </w:p>
        </w:tc>
        <w:tc>
          <w:tcPr>
            <w:tcW w:type="dxa" w:w="1234"/>
          </w:tcPr>
          <w:p>
            <w:r>
              <w:t>167.273</w:t>
            </w:r>
          </w:p>
        </w:tc>
        <w:tc>
          <w:tcPr>
            <w:tcW w:type="dxa" w:w="1234"/>
          </w:tcPr>
          <w:p>
            <w:r>
              <w:t>-94.102</w:t>
            </w:r>
          </w:p>
        </w:tc>
        <w:tc>
          <w:tcPr>
            <w:tcW w:type="dxa" w:w="1234"/>
          </w:tcPr>
          <w:p>
            <w:r>
              <w:t>1424.911</w:t>
            </w:r>
          </w:p>
        </w:tc>
        <w:tc>
          <w:tcPr>
            <w:tcW w:type="dxa" w:w="1234"/>
          </w:tcPr>
          <w:p>
            <w:r>
              <w:t>4.401</w:t>
            </w:r>
          </w:p>
        </w:tc>
        <w:tc>
          <w:tcPr>
            <w:tcW w:type="dxa" w:w="1234"/>
          </w:tcPr>
          <w:p>
            <w:r>
              <w:t>21.024</w:t>
            </w:r>
          </w:p>
        </w:tc>
      </w:tr>
    </w:tbl>
    <w:p>
      <w:r>
        <w:t>Takeaway: USDT premiums are mildly negative on both exchanges (≈ −24 bps mean). USDC on Binance has extreme right-tail behavior (max ≈ +1425 bps), consistent with severe transient dislocations.</w:t>
      </w:r>
    </w:p>
    <w:p>
      <w:r>
        <w:rPr>
          <w:b/>
          <w:sz w:val="24"/>
        </w:rPr>
        <w:t>4.2 Table 2 — Normal vs crisis regime comparison</w:t>
      </w:r>
    </w:p>
    <w:p>
      <w:r>
        <w:t>From q2_table2_regime_comparison.csv: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Series</w:t>
            </w:r>
          </w:p>
        </w:tc>
        <w:tc>
          <w:tcPr>
            <w:tcW w:type="dxa" w:w="1440"/>
          </w:tcPr>
          <w:p>
            <w:r>
              <w:t>Normal mean (bps)</w:t>
            </w:r>
          </w:p>
        </w:tc>
        <w:tc>
          <w:tcPr>
            <w:tcW w:type="dxa" w:w="1440"/>
          </w:tcPr>
          <w:p>
            <w:r>
              <w:t>Crisis mean (bps)</w:t>
            </w:r>
          </w:p>
        </w:tc>
        <w:tc>
          <w:tcPr>
            <w:tcW w:type="dxa" w:w="1440"/>
          </w:tcPr>
          <w:p>
            <w:r>
              <w:t>Mean diff</w:t>
            </w:r>
          </w:p>
        </w:tc>
        <w:tc>
          <w:tcPr>
            <w:tcW w:type="dxa" w:w="1440"/>
          </w:tcPr>
          <w:p>
            <w:r>
              <w:t>Vol ratio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</w:tr>
      <w:tr>
        <w:tc>
          <w:tcPr>
            <w:tcW w:type="dxa" w:w="1440"/>
          </w:tcPr>
          <w:p>
            <w:r>
              <w:t>USDT_coinbase</w:t>
            </w:r>
          </w:p>
        </w:tc>
        <w:tc>
          <w:tcPr>
            <w:tcW w:type="dxa" w:w="1440"/>
          </w:tcPr>
          <w:p>
            <w:r>
              <w:t>-16.698</w:t>
            </w:r>
          </w:p>
        </w:tc>
        <w:tc>
          <w:tcPr>
            <w:tcW w:type="dxa" w:w="1440"/>
          </w:tcPr>
          <w:p>
            <w:r>
              <w:t>-55.793</w:t>
            </w:r>
          </w:p>
        </w:tc>
        <w:tc>
          <w:tcPr>
            <w:tcW w:type="dxa" w:w="1440"/>
          </w:tcPr>
          <w:p>
            <w:r>
              <w:t>-39.095</w:t>
            </w:r>
          </w:p>
        </w:tc>
        <w:tc>
          <w:tcPr>
            <w:tcW w:type="dxa" w:w="1440"/>
          </w:tcPr>
          <w:p>
            <w:r>
              <w:t>2.382516702</w:t>
            </w:r>
          </w:p>
        </w:tc>
        <w:tc>
          <w:tcPr>
            <w:tcW w:type="dxa" w:w="1440"/>
          </w:tcPr>
          <w:p>
            <w:r>
              <w:t>≈0</w:t>
            </w:r>
          </w:p>
        </w:tc>
      </w:tr>
      <w:tr>
        <w:tc>
          <w:tcPr>
            <w:tcW w:type="dxa" w:w="1440"/>
          </w:tcPr>
          <w:p>
            <w:r>
              <w:t>USDT_binance</w:t>
            </w:r>
          </w:p>
        </w:tc>
        <w:tc>
          <w:tcPr>
            <w:tcW w:type="dxa" w:w="1440"/>
          </w:tcPr>
          <w:p>
            <w:r>
              <w:t>-15.708</w:t>
            </w:r>
          </w:p>
        </w:tc>
        <w:tc>
          <w:tcPr>
            <w:tcW w:type="dxa" w:w="1440"/>
          </w:tcPr>
          <w:p>
            <w:r>
              <w:t>-57.015</w:t>
            </w:r>
          </w:p>
        </w:tc>
        <w:tc>
          <w:tcPr>
            <w:tcW w:type="dxa" w:w="1440"/>
          </w:tcPr>
          <w:p>
            <w:r>
              <w:t>-41.307</w:t>
            </w:r>
          </w:p>
        </w:tc>
        <w:tc>
          <w:tcPr>
            <w:tcW w:type="dxa" w:w="1440"/>
          </w:tcPr>
          <w:p>
            <w:r>
              <w:t>2.363554831</w:t>
            </w:r>
          </w:p>
        </w:tc>
        <w:tc>
          <w:tcPr>
            <w:tcW w:type="dxa" w:w="1440"/>
          </w:tcPr>
          <w:p>
            <w:r>
              <w:t>≈0</w:t>
            </w:r>
          </w:p>
        </w:tc>
      </w:tr>
      <w:tr>
        <w:tc>
          <w:tcPr>
            <w:tcW w:type="dxa" w:w="1440"/>
          </w:tcPr>
          <w:p>
            <w:r>
              <w:t>USDC_binance</w:t>
            </w:r>
          </w:p>
        </w:tc>
        <w:tc>
          <w:tcPr>
            <w:tcW w:type="dxa" w:w="1440"/>
          </w:tcPr>
          <w:p>
            <w:r>
              <w:t>0.583</w:t>
            </w:r>
          </w:p>
        </w:tc>
        <w:tc>
          <w:tcPr>
            <w:tcW w:type="dxa" w:w="1440"/>
          </w:tcPr>
          <w:p>
            <w:r>
              <w:t>248.756</w:t>
            </w:r>
          </w:p>
        </w:tc>
        <w:tc>
          <w:tcPr>
            <w:tcW w:type="dxa" w:w="1440"/>
          </w:tcPr>
          <w:p>
            <w:r>
              <w:t>248.173</w:t>
            </w:r>
          </w:p>
        </w:tc>
        <w:tc>
          <w:tcPr>
            <w:tcW w:type="dxa" w:w="1440"/>
          </w:tcPr>
          <w:p>
            <w:r>
              <w:t>42.46924285</w:t>
            </w:r>
          </w:p>
        </w:tc>
        <w:tc>
          <w:tcPr>
            <w:tcW w:type="dxa" w:w="1440"/>
          </w:tcPr>
          <w:p>
            <w:r>
              <w:t>≈0</w:t>
            </w:r>
          </w:p>
        </w:tc>
      </w:tr>
      <w:tr>
        <w:tc>
          <w:tcPr>
            <w:tcW w:type="dxa" w:w="1440"/>
          </w:tcPr>
          <w:p>
            <w:r>
              <w:t>USDC_coinbase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n/a</w:t>
            </w:r>
          </w:p>
        </w:tc>
      </w:tr>
    </w:tbl>
    <w:p>
      <w:r>
        <w:t>USDT shows a statistically significant shift to more negative premiums during the crisis window (both venues). USDC on Binance shows an enormous increase in both mean premium and volatility (volatility ratio ≈ 42×).</w:t>
      </w:r>
    </w:p>
    <w:p>
      <w:r>
        <w:rPr>
          <w:b/>
          <w:sz w:val="24"/>
        </w:rPr>
        <w:t>4.3 Table 3 — Depeg dynamics (USDC)</w:t>
      </w:r>
    </w:p>
    <w:p>
      <w:r>
        <w:t>From q2_table3_depeg_analysis.csv: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Series</w:t>
            </w:r>
          </w:p>
        </w:tc>
        <w:tc>
          <w:tcPr>
            <w:tcW w:type="dxa" w:w="1440"/>
          </w:tcPr>
          <w:p>
            <w:r>
              <w:t>Max abs depeg (bps)</w:t>
            </w:r>
          </w:p>
        </w:tc>
        <w:tc>
          <w:tcPr>
            <w:tcW w:type="dxa" w:w="1440"/>
          </w:tcPr>
          <w:p>
            <w:r>
              <w:t>Events count</w:t>
            </w:r>
          </w:p>
        </w:tc>
        <w:tc>
          <w:tcPr>
            <w:tcW w:type="dxa" w:w="1440"/>
          </w:tcPr>
          <w:p>
            <w:r>
              <w:t>AR(1) φ</w:t>
            </w:r>
          </w:p>
        </w:tc>
        <w:tc>
          <w:tcPr>
            <w:tcW w:type="dxa" w:w="1440"/>
          </w:tcPr>
          <w:p>
            <w:r>
              <w:t>Half-life (min)</w:t>
            </w:r>
          </w:p>
        </w:tc>
        <w:tc>
          <w:tcPr>
            <w:tcW w:type="dxa" w:w="1440"/>
          </w:tcPr>
          <w:p>
            <w:r>
              <w:t>Comment</w:t>
            </w:r>
          </w:p>
        </w:tc>
      </w:tr>
      <w:tr>
        <w:tc>
          <w:tcPr>
            <w:tcW w:type="dxa" w:w="1440"/>
          </w:tcPr>
          <w:p>
            <w:r>
              <w:t>USDC_binance</w:t>
            </w:r>
          </w:p>
        </w:tc>
        <w:tc>
          <w:tcPr>
            <w:tcW w:type="dxa" w:w="1440"/>
          </w:tcPr>
          <w:p>
            <w:r>
              <w:t>1424.911</w:t>
            </w:r>
          </w:p>
        </w:tc>
        <w:tc>
          <w:tcPr>
            <w:tcW w:type="dxa" w:w="1440"/>
          </w:tcPr>
          <w:p>
            <w:r>
              <w:t>3513</w:t>
            </w:r>
          </w:p>
        </w:tc>
        <w:tc>
          <w:tcPr>
            <w:tcW w:type="dxa" w:w="1440"/>
          </w:tcPr>
          <w:p>
            <w:r>
              <w:t>0.998190</w:t>
            </w:r>
          </w:p>
        </w:tc>
        <w:tc>
          <w:tcPr>
            <w:tcW w:type="dxa" w:w="1440"/>
          </w:tcPr>
          <w:p>
            <w:r>
              <w:t>382.6</w:t>
            </w:r>
          </w:p>
        </w:tc>
        <w:tc>
          <w:tcPr>
            <w:tcW w:type="dxa" w:w="1440"/>
          </w:tcPr>
          <w:p>
            <w:r>
              <w:t>Persistent shocks (slow decay).</w:t>
            </w:r>
          </w:p>
        </w:tc>
      </w:tr>
      <w:tr>
        <w:tc>
          <w:tcPr>
            <w:tcW w:type="dxa" w:w="1440"/>
          </w:tcPr>
          <w:p>
            <w:r>
              <w:t>USDC_coinbase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Constant series → likely data/merge issue (see Section 5).</w:t>
            </w:r>
          </w:p>
        </w:tc>
      </w:tr>
    </w:tbl>
    <w:p>
      <w:r>
        <w:rPr>
          <w:b/>
          <w:sz w:val="24"/>
        </w:rPr>
        <w:t>4.4 Lead–lag results</w:t>
      </w:r>
    </w:p>
    <w:p>
      <w:r>
        <w:t>USDT lead–lag (Binance → Coinbase), HAC K=10:</w:t>
      </w:r>
    </w:p>
    <w:p>
      <w:pPr>
        <w:pStyle w:val="ListBullet"/>
      </w:pPr>
      <w:r>
        <w:t>β0 = 0.348 (p &lt; 0.001), β1 = 0.061 (p &lt; 0.001), β2 = 0.035 (p = 0.010).</w:t>
      </w:r>
    </w:p>
    <w:p>
      <w:pPr>
        <w:pStyle w:val="ListBullet"/>
      </w:pPr>
      <w:r>
        <w:t>Interpretation: premium changes transmit to Coinbase within ~1–2 minutes; strongest effect is contemporaneous.</w:t>
      </w:r>
    </w:p>
    <w:p>
      <w:r>
        <w:t>USDC lead–lag returned NaNs because Coinbase USDC premium is constant (all zeros).</w:t>
      </w:r>
    </w:p>
    <w:p>
      <w:r>
        <w:rPr>
          <w:b/>
          <w:sz w:val="24"/>
        </w:rPr>
        <w:t>4.5 VAR + IRF</w:t>
      </w:r>
    </w:p>
    <w:p>
      <w:r>
        <w:t>VAR estimated on: prem_USDC_binance_bps, prem_USDT_binance_bps, prem_USDT_coinbase_bps.</w:t>
      </w:r>
    </w:p>
    <w:p>
      <w:pPr>
        <w:pStyle w:val="ListBullet"/>
      </w:pPr>
      <w:r>
        <w:t>The pipeline drops near-constant series automatically and records the remaining series in var_series_used.txt.</w:t>
      </w:r>
    </w:p>
    <w:p>
      <w:pPr>
        <w:pStyle w:val="ListBullet"/>
      </w:pPr>
      <w:r>
        <w:t>IRF plot saved as outputs/var_irf.png; include as a dynamics figure in the paper.</w:t>
      </w:r>
    </w:p>
    <w:p>
      <w:r>
        <w:rPr>
          <w:b/>
          <w:sz w:val="28"/>
        </w:rPr>
        <w:t>5. Known issue: USDC_coinbase premium = 0 (constant)</w:t>
      </w:r>
    </w:p>
    <w:p>
      <w:r>
        <w:t>Your current outputs show USDC_coinbase premium is identically zero across the whole sample. This can occur if BTC_USDC_coinbase prices were mistakenly identical to BTC_USD_coinbase (file mix-up), or if the merge/alignment produced a constant series. Constant series cause singular matrices in lead–lag/VAR and produce NaNs.</w:t>
      </w:r>
    </w:p>
    <w:p>
      <w:r>
        <w:rPr>
          <w:b/>
          <w:sz w:val="24"/>
        </w:rPr>
        <w:t>5.1 Quick checks</w:t>
      </w:r>
    </w:p>
    <w:p>
      <w:pPr>
        <w:pStyle w:val="ListBullet"/>
      </w:pPr>
      <w:r>
        <w:t>Compare close columns: BTC_USDC_coinbase.csv vs BTC_USD_coinbase.csv (spot check a few rows).</w:t>
      </w:r>
    </w:p>
    <w:p>
      <w:pPr>
        <w:pStyle w:val="ListBullet"/>
      </w:pPr>
      <w:r>
        <w:t>Compute in Python: (close_usdc - close_usd).describe() — should not be exactly 0.</w:t>
      </w:r>
    </w:p>
    <w:p>
      <w:pPr>
        <w:pStyle w:val="ListBullet"/>
      </w:pPr>
      <w:r>
        <w:t>Confirm timestamp parsing works (no NaT) and is UTC-aware.</w:t>
      </w:r>
    </w:p>
    <w:p>
      <w:r>
        <w:rPr>
          <w:b/>
          <w:sz w:val="28"/>
        </w:rPr>
        <w:t>6. Regulatory interpretation (GENIUS Act linkage)</w:t>
      </w:r>
    </w:p>
    <w:p>
      <w:r>
        <w:t>Empirically, the episode looks like a confidence + liquidity-access shock: USDC dislocations spike and remain persistent on some venues. A stablecoin rulebook should therefore target reserve quality, transparency, and redemption/settlement liquidity.</w:t>
      </w:r>
    </w:p>
    <w:p>
      <w:r>
        <w:rPr>
          <w:b/>
          <w:sz w:val="24"/>
        </w:rPr>
        <w:t>6.1 Policy levers reflected in GENIUS Act text</w:t>
      </w:r>
    </w:p>
    <w:p>
      <w:pPr>
        <w:pStyle w:val="ListBullet"/>
      </w:pPr>
      <w:r>
        <w:t>1:1 reserve backing with a restricted set of high-quality liquid reserve assets.</w:t>
      </w:r>
    </w:p>
    <w:p>
      <w:pPr>
        <w:pStyle w:val="ListBullet"/>
      </w:pPr>
      <w:r>
        <w:t>Periodic public reserve disclosures (composition, tenor, custody location).</w:t>
      </w:r>
    </w:p>
    <w:p>
      <w:pPr>
        <w:pStyle w:val="ListBullet"/>
      </w:pPr>
      <w:r>
        <w:t>Restrictions on reuse/rehypothecation of reserve assets (limited exceptions).</w:t>
      </w:r>
    </w:p>
    <w:p>
      <w:pPr>
        <w:pStyle w:val="ListBullet"/>
      </w:pPr>
      <w:r>
        <w:t>Capital/liquidity/risk management rules including diversification standards.</w:t>
      </w:r>
    </w:p>
    <w:p>
      <w:r>
        <w:rPr>
          <w:b/>
          <w:sz w:val="24"/>
        </w:rPr>
        <w:t>6.2 How the evidence maps to policy</w:t>
      </w:r>
    </w:p>
    <w:p>
      <w:pPr>
        <w:pStyle w:val="ListBullet"/>
      </w:pPr>
      <w:r>
        <w:t>Transparency reduces uncertainty and can shorten stress duration.</w:t>
      </w:r>
    </w:p>
    <w:p>
      <w:pPr>
        <w:pStyle w:val="ListBullet"/>
      </w:pPr>
      <w:r>
        <w:t>Restricting reserves to liquid assets supports redemption under stress.</w:t>
      </w:r>
    </w:p>
    <w:p>
      <w:pPr>
        <w:pStyle w:val="ListBullet"/>
      </w:pPr>
      <w:r>
        <w:t>Diversification standards mitigate single-bank concentration risk (SVB-style).</w:t>
      </w:r>
    </w:p>
    <w:p>
      <w:pPr>
        <w:pStyle w:val="ListBullet"/>
      </w:pPr>
      <w:r>
        <w:t>A deployable monitor: premium + regime detection + VAR can provide early warnings.</w:t>
      </w:r>
    </w:p>
    <w:p>
      <w:r>
        <w:rPr>
          <w:b/>
          <w:sz w:val="28"/>
        </w:rPr>
        <w:t>7. What to send to the team lead today</w:t>
      </w:r>
    </w:p>
    <w:p>
      <w:r>
        <w:t>Zip the entire folder (or share via OneDrive) including: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run_question2_analysis.py (one-command pipeline)</w:t>
      </w:r>
    </w:p>
    <w:p>
      <w:pPr>
        <w:pStyle w:val="ListBullet"/>
      </w:pPr>
      <w:r>
        <w:t>stablecoin_dynamics_analysis.py</w:t>
      </w:r>
    </w:p>
    <w:p>
      <w:pPr>
        <w:pStyle w:val="ListBullet"/>
      </w:pPr>
      <w:r>
        <w:t>q2_models.py (lead–lag + VAR)</w:t>
      </w:r>
    </w:p>
    <w:p>
      <w:pPr>
        <w:pStyle w:val="ListBullet"/>
      </w:pPr>
      <w:r>
        <w:t>outputs/ (tables + figures from your run)</w:t>
      </w:r>
    </w:p>
    <w:p>
      <w:pPr>
        <w:pStyle w:val="ListBullet"/>
      </w:pPr>
      <w:r>
        <w:t>data/ if size allows; otherwise send a link and keep folder names consistent.</w:t>
      </w:r>
    </w:p>
    <w:p>
      <w:r>
        <w:rPr>
          <w:b/>
          <w:sz w:val="28"/>
        </w:rPr>
        <w:t>8. Reproducibility checklist</w:t>
      </w:r>
    </w:p>
    <w:p>
      <w:pPr>
        <w:pStyle w:val="ListNumber"/>
      </w:pPr>
      <w:r>
        <w:t>Create environment; pip install -r requirements.txt.</w:t>
      </w:r>
    </w:p>
    <w:p>
      <w:pPr>
        <w:pStyle w:val="ListNumber"/>
      </w:pPr>
      <w:r>
        <w:t>Put CSVs into data/coinbase and data/binance_clean.</w:t>
      </w:r>
    </w:p>
    <w:p>
      <w:pPr>
        <w:pStyle w:val="ListNumber"/>
      </w:pPr>
      <w:r>
        <w:t>Run: python run_question2_analysis.py</w:t>
      </w:r>
    </w:p>
    <w:p>
      <w:pPr>
        <w:pStyle w:val="ListNumber"/>
      </w:pPr>
      <w:r>
        <w:t>Confirm outputs/ contains plots, 3 CSV tables, lead–lag txt, VAR summary + IRF.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