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E4E86">
      <w:pPr>
        <w:pStyle w:val="7"/>
      </w:pPr>
      <w:r>
        <w:rPr>
          <w:color w:val="0E4660"/>
          <w:spacing w:val="-6"/>
          <w:w w:val="105"/>
        </w:rPr>
        <w:t>HACK</w:t>
      </w:r>
      <w:r>
        <w:rPr>
          <w:color w:val="0E4660"/>
          <w:spacing w:val="-29"/>
          <w:w w:val="105"/>
        </w:rPr>
        <w:t xml:space="preserve"> </w:t>
      </w:r>
      <w:r>
        <w:rPr>
          <w:color w:val="0E4660"/>
          <w:spacing w:val="-6"/>
          <w:w w:val="105"/>
        </w:rPr>
        <w:t>IT-WPU’24</w:t>
      </w:r>
    </w:p>
    <w:p w14:paraId="1A1DCDA8">
      <w:pPr>
        <w:pStyle w:val="6"/>
        <w:rPr>
          <w:sz w:val="20"/>
        </w:rPr>
      </w:pPr>
    </w:p>
    <w:p w14:paraId="0870B296">
      <w:pPr>
        <w:pStyle w:val="6"/>
        <w:spacing w:before="232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317500</wp:posOffset>
            </wp:positionV>
            <wp:extent cx="5487035" cy="3600450"/>
            <wp:effectExtent l="0" t="0" r="0" b="0"/>
            <wp:wrapTopAndBottom/>
            <wp:docPr id="1" name="Image 1" descr="A black and white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and white logo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17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C07CD">
      <w:pPr>
        <w:pStyle w:val="6"/>
        <w:spacing w:before="42"/>
        <w:rPr>
          <w:sz w:val="60"/>
        </w:rPr>
      </w:pPr>
    </w:p>
    <w:p w14:paraId="260A7786">
      <w:pPr>
        <w:spacing w:before="0"/>
        <w:ind w:left="361" w:right="0" w:firstLine="0"/>
        <w:jc w:val="center"/>
        <w:rPr>
          <w:sz w:val="26"/>
        </w:rPr>
      </w:pPr>
      <w:r>
        <w:rPr>
          <w:color w:val="585858"/>
          <w:spacing w:val="-2"/>
          <w:w w:val="105"/>
          <w:sz w:val="26"/>
        </w:rPr>
        <w:t>PLUTUS</w:t>
      </w:r>
    </w:p>
    <w:p w14:paraId="57093B11">
      <w:pPr>
        <w:pStyle w:val="6"/>
        <w:spacing w:before="60"/>
        <w:rPr>
          <w:sz w:val="26"/>
        </w:rPr>
      </w:pPr>
    </w:p>
    <w:p w14:paraId="3C845C23">
      <w:pPr>
        <w:spacing w:before="1"/>
        <w:ind w:left="361" w:right="2" w:firstLine="0"/>
        <w:jc w:val="center"/>
        <w:rPr>
          <w:sz w:val="26"/>
        </w:rPr>
      </w:pPr>
      <w:r>
        <w:rPr>
          <w:color w:val="585858"/>
          <w:w w:val="105"/>
          <w:sz w:val="26"/>
        </w:rPr>
        <w:t>CANDLE</w:t>
      </w:r>
      <w:r>
        <w:rPr>
          <w:color w:val="585858"/>
          <w:spacing w:val="-16"/>
          <w:w w:val="105"/>
          <w:sz w:val="26"/>
        </w:rPr>
        <w:t xml:space="preserve"> </w:t>
      </w:r>
      <w:r>
        <w:rPr>
          <w:color w:val="585858"/>
          <w:w w:val="105"/>
          <w:sz w:val="26"/>
        </w:rPr>
        <w:t>PROFITER:</w:t>
      </w:r>
      <w:r>
        <w:rPr>
          <w:color w:val="585858"/>
          <w:spacing w:val="-15"/>
          <w:w w:val="105"/>
          <w:sz w:val="26"/>
        </w:rPr>
        <w:t xml:space="preserve"> </w:t>
      </w:r>
      <w:r>
        <w:rPr>
          <w:color w:val="585858"/>
          <w:w w:val="105"/>
          <w:sz w:val="26"/>
        </w:rPr>
        <w:t>LIGHTING</w:t>
      </w:r>
      <w:r>
        <w:rPr>
          <w:color w:val="585858"/>
          <w:spacing w:val="-16"/>
          <w:w w:val="105"/>
          <w:sz w:val="26"/>
        </w:rPr>
        <w:t xml:space="preserve"> </w:t>
      </w:r>
      <w:r>
        <w:rPr>
          <w:color w:val="585858"/>
          <w:w w:val="105"/>
          <w:sz w:val="26"/>
        </w:rPr>
        <w:t>YOUR</w:t>
      </w:r>
      <w:r>
        <w:rPr>
          <w:color w:val="585858"/>
          <w:spacing w:val="-14"/>
          <w:w w:val="105"/>
          <w:sz w:val="26"/>
        </w:rPr>
        <w:t xml:space="preserve"> </w:t>
      </w:r>
      <w:r>
        <w:rPr>
          <w:color w:val="585858"/>
          <w:w w:val="105"/>
          <w:sz w:val="26"/>
        </w:rPr>
        <w:t>PATH</w:t>
      </w:r>
      <w:r>
        <w:rPr>
          <w:color w:val="585858"/>
          <w:spacing w:val="-16"/>
          <w:w w:val="105"/>
          <w:sz w:val="26"/>
        </w:rPr>
        <w:t xml:space="preserve"> </w:t>
      </w:r>
      <w:r>
        <w:rPr>
          <w:color w:val="585858"/>
          <w:w w:val="105"/>
          <w:sz w:val="26"/>
        </w:rPr>
        <w:t>TO</w:t>
      </w:r>
      <w:r>
        <w:rPr>
          <w:color w:val="585858"/>
          <w:spacing w:val="-11"/>
          <w:w w:val="105"/>
          <w:sz w:val="26"/>
        </w:rPr>
        <w:t xml:space="preserve"> </w:t>
      </w:r>
      <w:r>
        <w:rPr>
          <w:color w:val="585858"/>
          <w:spacing w:val="-2"/>
          <w:w w:val="105"/>
          <w:sz w:val="26"/>
        </w:rPr>
        <w:t>PROFIT</w:t>
      </w:r>
    </w:p>
    <w:p w14:paraId="587BFEA7">
      <w:pPr>
        <w:spacing w:after="0"/>
        <w:jc w:val="center"/>
        <w:rPr>
          <w:sz w:val="26"/>
        </w:rPr>
        <w:sectPr>
          <w:type w:val="continuous"/>
          <w:pgSz w:w="12240" w:h="15840"/>
          <w:pgMar w:top="1820" w:right="720" w:bottom="280" w:left="360" w:header="720" w:footer="720" w:gutter="0"/>
          <w:cols w:space="720" w:num="1"/>
        </w:sectPr>
      </w:pPr>
    </w:p>
    <w:p w14:paraId="74B754C8">
      <w:pPr>
        <w:spacing w:line="240" w:lineRule="auto"/>
        <w:ind w:left="6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15075" cy="628650"/>
                <wp:effectExtent l="9525" t="0" r="0" b="9525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6286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E5B14D">
                            <w:pPr>
                              <w:spacing w:before="304"/>
                              <w:ind w:left="0" w:right="1815" w:firstLine="0"/>
                              <w:jc w:val="center"/>
                              <w:rPr>
                                <w:sz w:val="40"/>
                              </w:rPr>
                            </w:pPr>
                            <w:bookmarkStart w:id="0" w:name="PLUTUS"/>
                            <w:bookmarkEnd w:id="0"/>
                            <w:r>
                              <w:rPr>
                                <w:color w:val="0E4660"/>
                                <w:spacing w:val="-2"/>
                                <w:w w:val="105"/>
                                <w:sz w:val="40"/>
                              </w:rPr>
                              <w:t>PLUTUS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49.5pt;width:497.25pt;" filled="f" stroked="t" coordsize="21600,21600" o:gfxdata="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Fz/dzWAAAABAEAAA8A&#10;AAAAAAAAAQAgAAAAIgAAAGRycy9kb3ducmV2LnhtbFBLAQIUABQAAAAIAIdO4kApBJf44AEAANcD&#10;AAAOAAAAAAAAAAEAIAAAACUBAABkcnMvZTJvRG9jLnhtbFBLBQYAAAAABgAGAFkBAAB3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60E5B14D">
                      <w:pPr>
                        <w:spacing w:before="304"/>
                        <w:ind w:left="0" w:right="1815" w:firstLine="0"/>
                        <w:jc w:val="center"/>
                        <w:rPr>
                          <w:sz w:val="40"/>
                        </w:rPr>
                      </w:pPr>
                      <w:bookmarkStart w:id="0" w:name="PLUTUS"/>
                      <w:bookmarkEnd w:id="0"/>
                      <w:r>
                        <w:rPr>
                          <w:color w:val="0E4660"/>
                          <w:spacing w:val="-2"/>
                          <w:w w:val="105"/>
                          <w:sz w:val="40"/>
                        </w:rPr>
                        <w:t>PLUTUS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A62DE7">
      <w:pPr>
        <w:pStyle w:val="6"/>
      </w:pPr>
    </w:p>
    <w:p w14:paraId="02229DBF">
      <w:pPr>
        <w:pStyle w:val="6"/>
      </w:pPr>
    </w:p>
    <w:p w14:paraId="41947635">
      <w:pPr>
        <w:pStyle w:val="6"/>
        <w:spacing w:before="125"/>
      </w:pPr>
    </w:p>
    <w:p w14:paraId="7AFE6841">
      <w:pPr>
        <w:pStyle w:val="6"/>
        <w:tabs>
          <w:tab w:val="left" w:pos="4176"/>
        </w:tabs>
        <w:spacing w:before="1"/>
        <w:ind w:left="1441"/>
      </w:pPr>
      <w:r>
        <w:rPr>
          <w:color w:val="0E4660"/>
          <w:spacing w:val="-2"/>
        </w:rPr>
        <w:t>Division: Division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10"/>
        </w:rPr>
        <w:t>1</w:t>
      </w:r>
      <w:r>
        <w:rPr>
          <w:color w:val="0E4660"/>
        </w:rPr>
        <w:tab/>
      </w:r>
      <w:r>
        <w:rPr>
          <w:color w:val="0E4660"/>
        </w:rPr>
        <w:t>School/Department: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School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of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Computer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2"/>
        </w:rPr>
        <w:t>Science</w:t>
      </w:r>
    </w:p>
    <w:p w14:paraId="5EC80BD5">
      <w:pPr>
        <w:pStyle w:val="6"/>
        <w:rPr>
          <w:sz w:val="20"/>
        </w:rPr>
      </w:pPr>
    </w:p>
    <w:p w14:paraId="38CDFA44">
      <w:pPr>
        <w:pStyle w:val="6"/>
        <w:spacing w:before="132"/>
        <w:rPr>
          <w:sz w:val="20"/>
        </w:rPr>
      </w:pPr>
    </w:p>
    <w:tbl>
      <w:tblPr>
        <w:tblStyle w:val="5"/>
        <w:tblW w:w="0" w:type="auto"/>
        <w:tblInd w:w="1458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0"/>
        <w:gridCol w:w="1541"/>
        <w:gridCol w:w="1741"/>
        <w:gridCol w:w="3362"/>
        <w:gridCol w:w="1271"/>
      </w:tblGrid>
      <w:tr w14:paraId="47A7594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5" w:hRule="atLeast"/>
        </w:trPr>
        <w:tc>
          <w:tcPr>
            <w:tcW w:w="970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5FE9A588">
            <w:pPr>
              <w:pStyle w:val="10"/>
              <w:rPr>
                <w:b/>
                <w:sz w:val="22"/>
              </w:rPr>
            </w:pPr>
            <w:r>
              <w:rPr>
                <w:b/>
                <w:color w:val="FFFFFF"/>
                <w:w w:val="115"/>
                <w:sz w:val="22"/>
              </w:rPr>
              <w:t>SR.</w:t>
            </w:r>
            <w:r>
              <w:rPr>
                <w:b/>
                <w:color w:val="FFFFFF"/>
                <w:spacing w:val="-12"/>
                <w:w w:val="115"/>
                <w:sz w:val="22"/>
              </w:rPr>
              <w:t xml:space="preserve"> </w:t>
            </w:r>
            <w:r>
              <w:rPr>
                <w:b/>
                <w:color w:val="FFFFFF"/>
                <w:spacing w:val="-5"/>
                <w:w w:val="115"/>
                <w:sz w:val="22"/>
              </w:rPr>
              <w:t>NO</w:t>
            </w:r>
          </w:p>
          <w:p w14:paraId="2B9A2E39">
            <w:pPr>
              <w:pStyle w:val="10"/>
              <w:spacing w:before="2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w w:val="110"/>
                <w:sz w:val="22"/>
              </w:rPr>
              <w:t>.</w:t>
            </w:r>
          </w:p>
        </w:tc>
        <w:tc>
          <w:tcPr>
            <w:tcW w:w="1541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64735629">
            <w:pPr>
              <w:pStyle w:val="10"/>
              <w:ind w:left="110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105"/>
                <w:sz w:val="22"/>
              </w:rPr>
              <w:t>NAME</w:t>
            </w: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0013A64E">
            <w:pPr>
              <w:pStyle w:val="10"/>
              <w:ind w:left="104"/>
              <w:rPr>
                <w:b/>
                <w:sz w:val="22"/>
              </w:rPr>
            </w:pPr>
            <w:r>
              <w:rPr>
                <w:b/>
                <w:color w:val="FFFFFF"/>
                <w:w w:val="110"/>
                <w:sz w:val="22"/>
              </w:rPr>
              <w:t xml:space="preserve">PHONE </w:t>
            </w:r>
            <w:r>
              <w:rPr>
                <w:b/>
                <w:color w:val="FFFFFF"/>
                <w:spacing w:val="-5"/>
                <w:w w:val="110"/>
                <w:sz w:val="22"/>
              </w:rPr>
              <w:t>NO</w:t>
            </w:r>
          </w:p>
        </w:tc>
        <w:tc>
          <w:tcPr>
            <w:tcW w:w="3362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4DC468CB">
            <w:pPr>
              <w:pStyle w:val="10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110"/>
                <w:sz w:val="22"/>
              </w:rPr>
              <w:t>EMAIL</w:t>
            </w:r>
          </w:p>
        </w:tc>
        <w:tc>
          <w:tcPr>
            <w:tcW w:w="1271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6E4948B9">
            <w:pPr>
              <w:pStyle w:val="10"/>
              <w:ind w:left="103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w w:val="115"/>
                <w:sz w:val="22"/>
              </w:rPr>
              <w:t>ROLE</w:t>
            </w:r>
          </w:p>
        </w:tc>
      </w:tr>
      <w:tr w14:paraId="2BECF90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970" w:type="dxa"/>
            <w:tcBorders>
              <w:left w:val="nil"/>
            </w:tcBorders>
            <w:shd w:val="clear" w:color="auto" w:fill="000000"/>
          </w:tcPr>
          <w:p w14:paraId="2CB5605D">
            <w:pPr>
              <w:pStyle w:val="1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1.</w:t>
            </w:r>
          </w:p>
        </w:tc>
        <w:tc>
          <w:tcPr>
            <w:tcW w:w="1541" w:type="dxa"/>
            <w:tcBorders>
              <w:right w:val="nil"/>
            </w:tcBorders>
            <w:shd w:val="clear" w:color="auto" w:fill="999999"/>
          </w:tcPr>
          <w:p w14:paraId="48BE0B6D">
            <w:pPr>
              <w:pStyle w:val="10"/>
              <w:spacing w:before="122" w:line="237" w:lineRule="auto"/>
              <w:ind w:right="371"/>
              <w:rPr>
                <w:sz w:val="22"/>
              </w:rPr>
            </w:pPr>
            <w:r>
              <w:rPr>
                <w:color w:val="585858"/>
                <w:spacing w:val="-2"/>
                <w:w w:val="110"/>
                <w:sz w:val="22"/>
              </w:rPr>
              <w:t>VARSHA SONTAKKE</w:t>
            </w:r>
          </w:p>
        </w:tc>
        <w:tc>
          <w:tcPr>
            <w:tcW w:w="1741" w:type="dxa"/>
            <w:tcBorders>
              <w:left w:val="nil"/>
              <w:right w:val="nil"/>
            </w:tcBorders>
            <w:shd w:val="clear" w:color="auto" w:fill="999999"/>
          </w:tcPr>
          <w:p w14:paraId="10EDFB3F">
            <w:pPr>
              <w:pStyle w:val="10"/>
              <w:ind w:left="104"/>
              <w:rPr>
                <w:sz w:val="22"/>
              </w:rPr>
            </w:pPr>
          </w:p>
        </w:tc>
        <w:tc>
          <w:tcPr>
            <w:tcW w:w="3362" w:type="dxa"/>
            <w:tcBorders>
              <w:left w:val="nil"/>
              <w:right w:val="nil"/>
            </w:tcBorders>
            <w:shd w:val="clear" w:color="auto" w:fill="999999"/>
          </w:tcPr>
          <w:p w14:paraId="1446AF7D">
            <w:pPr>
              <w:pStyle w:val="10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right w:val="nil"/>
            </w:tcBorders>
            <w:shd w:val="clear" w:color="auto" w:fill="999999"/>
          </w:tcPr>
          <w:p w14:paraId="3217AE43">
            <w:pPr>
              <w:pStyle w:val="10"/>
              <w:spacing w:before="122" w:line="237" w:lineRule="auto"/>
              <w:ind w:left="103"/>
              <w:rPr>
                <w:sz w:val="22"/>
              </w:rPr>
            </w:pPr>
            <w:r>
              <w:rPr>
                <w:color w:val="585858"/>
                <w:spacing w:val="-2"/>
                <w:w w:val="105"/>
                <w:sz w:val="22"/>
              </w:rPr>
              <w:t xml:space="preserve">Faculty </w:t>
            </w:r>
            <w:r>
              <w:rPr>
                <w:color w:val="585858"/>
                <w:spacing w:val="-2"/>
                <w:sz w:val="22"/>
              </w:rPr>
              <w:t>Mentor</w:t>
            </w:r>
          </w:p>
        </w:tc>
      </w:tr>
      <w:tr w14:paraId="62DE2C2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970" w:type="dxa"/>
            <w:tcBorders>
              <w:left w:val="nil"/>
            </w:tcBorders>
            <w:shd w:val="clear" w:color="auto" w:fill="000000"/>
          </w:tcPr>
          <w:p w14:paraId="74A8B9FA">
            <w:pPr>
              <w:pStyle w:val="10"/>
              <w:spacing w:before="11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2.</w:t>
            </w:r>
          </w:p>
        </w:tc>
        <w:tc>
          <w:tcPr>
            <w:tcW w:w="1541" w:type="dxa"/>
            <w:tcBorders>
              <w:right w:val="nil"/>
            </w:tcBorders>
            <w:shd w:val="clear" w:color="auto" w:fill="CCCCCC"/>
          </w:tcPr>
          <w:p w14:paraId="41FCAC4F">
            <w:pPr>
              <w:pStyle w:val="10"/>
              <w:spacing w:before="115"/>
              <w:ind w:right="371"/>
              <w:rPr>
                <w:sz w:val="22"/>
              </w:rPr>
            </w:pPr>
            <w:r>
              <w:rPr>
                <w:color w:val="585858"/>
                <w:spacing w:val="-2"/>
                <w:w w:val="110"/>
                <w:sz w:val="22"/>
              </w:rPr>
              <w:t>AARYA SHINDE</w:t>
            </w:r>
          </w:p>
        </w:tc>
        <w:tc>
          <w:tcPr>
            <w:tcW w:w="1741" w:type="dxa"/>
            <w:tcBorders>
              <w:left w:val="nil"/>
              <w:right w:val="nil"/>
            </w:tcBorders>
            <w:shd w:val="clear" w:color="auto" w:fill="CCCCCC"/>
          </w:tcPr>
          <w:p w14:paraId="7F621DDD">
            <w:pPr>
              <w:pStyle w:val="10"/>
              <w:spacing w:before="115"/>
              <w:ind w:left="104"/>
              <w:rPr>
                <w:sz w:val="22"/>
              </w:rPr>
            </w:pPr>
          </w:p>
        </w:tc>
        <w:tc>
          <w:tcPr>
            <w:tcW w:w="3362" w:type="dxa"/>
            <w:tcBorders>
              <w:left w:val="nil"/>
              <w:right w:val="nil"/>
            </w:tcBorders>
            <w:shd w:val="clear" w:color="auto" w:fill="CCCCCC"/>
          </w:tcPr>
          <w:p w14:paraId="3270C2E7">
            <w:pPr>
              <w:pStyle w:val="10"/>
              <w:spacing w:before="115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right w:val="nil"/>
            </w:tcBorders>
            <w:shd w:val="clear" w:color="auto" w:fill="CCCCCC"/>
          </w:tcPr>
          <w:p w14:paraId="30EBBD67">
            <w:pPr>
              <w:pStyle w:val="10"/>
              <w:spacing w:before="115"/>
              <w:ind w:left="103" w:right="202"/>
              <w:rPr>
                <w:sz w:val="22"/>
              </w:rPr>
            </w:pPr>
            <w:r>
              <w:rPr>
                <w:color w:val="585858"/>
                <w:spacing w:val="-4"/>
                <w:w w:val="105"/>
                <w:sz w:val="22"/>
              </w:rPr>
              <w:t xml:space="preserve">Team </w:t>
            </w:r>
            <w:r>
              <w:rPr>
                <w:color w:val="585858"/>
                <w:spacing w:val="-2"/>
                <w:w w:val="105"/>
                <w:sz w:val="22"/>
              </w:rPr>
              <w:t>Leader</w:t>
            </w:r>
          </w:p>
        </w:tc>
      </w:tr>
      <w:tr w14:paraId="731049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970" w:type="dxa"/>
            <w:tcBorders>
              <w:left w:val="nil"/>
            </w:tcBorders>
            <w:shd w:val="clear" w:color="auto" w:fill="000000"/>
          </w:tcPr>
          <w:p w14:paraId="0F0C2A91">
            <w:pPr>
              <w:pStyle w:val="1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3.</w:t>
            </w:r>
          </w:p>
        </w:tc>
        <w:tc>
          <w:tcPr>
            <w:tcW w:w="1541" w:type="dxa"/>
            <w:tcBorders>
              <w:right w:val="nil"/>
            </w:tcBorders>
            <w:shd w:val="clear" w:color="auto" w:fill="999999"/>
          </w:tcPr>
          <w:p w14:paraId="23D2DA42">
            <w:pPr>
              <w:pStyle w:val="10"/>
              <w:rPr>
                <w:sz w:val="22"/>
              </w:rPr>
            </w:pPr>
            <w:r>
              <w:rPr>
                <w:color w:val="585858"/>
                <w:w w:val="110"/>
                <w:sz w:val="22"/>
              </w:rPr>
              <w:t>YASH</w:t>
            </w:r>
            <w:r>
              <w:rPr>
                <w:color w:val="585858"/>
                <w:spacing w:val="-5"/>
                <w:w w:val="110"/>
                <w:sz w:val="22"/>
              </w:rPr>
              <w:t xml:space="preserve"> </w:t>
            </w:r>
            <w:r>
              <w:rPr>
                <w:color w:val="585858"/>
                <w:spacing w:val="-4"/>
                <w:w w:val="110"/>
                <w:sz w:val="22"/>
              </w:rPr>
              <w:t>OHARA</w:t>
            </w:r>
          </w:p>
        </w:tc>
        <w:tc>
          <w:tcPr>
            <w:tcW w:w="1741" w:type="dxa"/>
            <w:tcBorders>
              <w:left w:val="nil"/>
              <w:right w:val="nil"/>
            </w:tcBorders>
            <w:shd w:val="clear" w:color="auto" w:fill="999999"/>
          </w:tcPr>
          <w:p w14:paraId="5B7936F6">
            <w:pPr>
              <w:pStyle w:val="10"/>
              <w:ind w:left="104"/>
              <w:rPr>
                <w:sz w:val="22"/>
              </w:rPr>
            </w:pPr>
          </w:p>
        </w:tc>
        <w:tc>
          <w:tcPr>
            <w:tcW w:w="3362" w:type="dxa"/>
            <w:tcBorders>
              <w:left w:val="nil"/>
              <w:right w:val="nil"/>
            </w:tcBorders>
            <w:shd w:val="clear" w:color="auto" w:fill="999999"/>
          </w:tcPr>
          <w:p w14:paraId="157E0385">
            <w:pPr>
              <w:pStyle w:val="10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right w:val="nil"/>
            </w:tcBorders>
            <w:shd w:val="clear" w:color="auto" w:fill="999999"/>
          </w:tcPr>
          <w:p w14:paraId="5B6E7544">
            <w:pPr>
              <w:pStyle w:val="10"/>
              <w:spacing w:line="242" w:lineRule="auto"/>
              <w:ind w:left="103" w:right="202"/>
              <w:rPr>
                <w:sz w:val="22"/>
              </w:rPr>
            </w:pPr>
            <w:r>
              <w:rPr>
                <w:color w:val="585858"/>
                <w:spacing w:val="-4"/>
                <w:w w:val="105"/>
                <w:sz w:val="22"/>
              </w:rPr>
              <w:t>Team Member</w:t>
            </w:r>
            <w:r>
              <w:rPr>
                <w:color w:val="585858"/>
                <w:spacing w:val="-10"/>
                <w:w w:val="105"/>
                <w:sz w:val="22"/>
              </w:rPr>
              <w:t xml:space="preserve"> </w:t>
            </w:r>
            <w:r>
              <w:rPr>
                <w:color w:val="585858"/>
                <w:spacing w:val="-4"/>
                <w:w w:val="105"/>
                <w:sz w:val="22"/>
              </w:rPr>
              <w:t>1</w:t>
            </w:r>
          </w:p>
        </w:tc>
      </w:tr>
      <w:tr w14:paraId="231F259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970" w:type="dxa"/>
            <w:tcBorders>
              <w:left w:val="nil"/>
            </w:tcBorders>
            <w:shd w:val="clear" w:color="auto" w:fill="000000"/>
          </w:tcPr>
          <w:p w14:paraId="55033EA6">
            <w:pPr>
              <w:pStyle w:val="10"/>
              <w:spacing w:before="11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4.</w:t>
            </w:r>
          </w:p>
        </w:tc>
        <w:tc>
          <w:tcPr>
            <w:tcW w:w="1541" w:type="dxa"/>
            <w:tcBorders>
              <w:right w:val="nil"/>
            </w:tcBorders>
            <w:shd w:val="clear" w:color="auto" w:fill="CCCCCC"/>
          </w:tcPr>
          <w:p w14:paraId="4EBD5E12">
            <w:pPr>
              <w:pStyle w:val="10"/>
              <w:spacing w:before="115"/>
              <w:rPr>
                <w:sz w:val="22"/>
              </w:rPr>
            </w:pPr>
            <w:r>
              <w:rPr>
                <w:color w:val="585858"/>
                <w:spacing w:val="-2"/>
                <w:w w:val="105"/>
                <w:sz w:val="22"/>
              </w:rPr>
              <w:t>DIVYA PADUKONE</w:t>
            </w:r>
          </w:p>
        </w:tc>
        <w:tc>
          <w:tcPr>
            <w:tcW w:w="1741" w:type="dxa"/>
            <w:tcBorders>
              <w:left w:val="nil"/>
              <w:right w:val="nil"/>
            </w:tcBorders>
            <w:shd w:val="clear" w:color="auto" w:fill="CCCCCC"/>
          </w:tcPr>
          <w:p w14:paraId="54644ECA">
            <w:pPr>
              <w:pStyle w:val="10"/>
              <w:spacing w:before="115"/>
              <w:ind w:left="104"/>
              <w:rPr>
                <w:sz w:val="22"/>
              </w:rPr>
            </w:pPr>
          </w:p>
        </w:tc>
        <w:tc>
          <w:tcPr>
            <w:tcW w:w="3362" w:type="dxa"/>
            <w:tcBorders>
              <w:left w:val="nil"/>
              <w:right w:val="nil"/>
            </w:tcBorders>
            <w:shd w:val="clear" w:color="auto" w:fill="CCCCCC"/>
          </w:tcPr>
          <w:p w14:paraId="37014CCC">
            <w:pPr>
              <w:pStyle w:val="10"/>
              <w:spacing w:before="115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right w:val="nil"/>
            </w:tcBorders>
            <w:shd w:val="clear" w:color="auto" w:fill="CCCCCC"/>
          </w:tcPr>
          <w:p w14:paraId="3A546EE7">
            <w:pPr>
              <w:pStyle w:val="10"/>
              <w:spacing w:before="115" w:line="348" w:lineRule="auto"/>
              <w:ind w:left="103" w:right="202"/>
              <w:rPr>
                <w:sz w:val="22"/>
              </w:rPr>
            </w:pPr>
            <w:r>
              <w:rPr>
                <w:color w:val="585858"/>
                <w:spacing w:val="-4"/>
                <w:w w:val="105"/>
                <w:sz w:val="22"/>
              </w:rPr>
              <w:t>Team Member</w:t>
            </w:r>
            <w:r>
              <w:rPr>
                <w:color w:val="585858"/>
                <w:spacing w:val="-10"/>
                <w:w w:val="105"/>
                <w:sz w:val="22"/>
              </w:rPr>
              <w:t xml:space="preserve"> </w:t>
            </w:r>
            <w:r>
              <w:rPr>
                <w:color w:val="585858"/>
                <w:spacing w:val="-4"/>
                <w:w w:val="105"/>
                <w:sz w:val="22"/>
              </w:rPr>
              <w:t>2</w:t>
            </w:r>
          </w:p>
        </w:tc>
      </w:tr>
      <w:tr w14:paraId="7416A7F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970" w:type="dxa"/>
            <w:tcBorders>
              <w:left w:val="nil"/>
            </w:tcBorders>
            <w:shd w:val="clear" w:color="auto" w:fill="000000"/>
          </w:tcPr>
          <w:p w14:paraId="4346D3EE">
            <w:pPr>
              <w:pStyle w:val="1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5.</w:t>
            </w:r>
          </w:p>
        </w:tc>
        <w:tc>
          <w:tcPr>
            <w:tcW w:w="1541" w:type="dxa"/>
            <w:tcBorders>
              <w:right w:val="nil"/>
            </w:tcBorders>
            <w:shd w:val="clear" w:color="auto" w:fill="999999"/>
          </w:tcPr>
          <w:p w14:paraId="2A6CAD05">
            <w:pPr>
              <w:pStyle w:val="10"/>
              <w:ind w:right="371"/>
              <w:rPr>
                <w:sz w:val="22"/>
              </w:rPr>
            </w:pPr>
            <w:r>
              <w:rPr>
                <w:color w:val="585858"/>
                <w:spacing w:val="-2"/>
                <w:w w:val="110"/>
                <w:sz w:val="22"/>
              </w:rPr>
              <w:t xml:space="preserve">SIDDHESH </w:t>
            </w:r>
            <w:r>
              <w:rPr>
                <w:color w:val="585858"/>
                <w:spacing w:val="-4"/>
                <w:w w:val="110"/>
                <w:sz w:val="22"/>
              </w:rPr>
              <w:t>PATIL</w:t>
            </w:r>
          </w:p>
        </w:tc>
        <w:tc>
          <w:tcPr>
            <w:tcW w:w="1741" w:type="dxa"/>
            <w:tcBorders>
              <w:left w:val="nil"/>
              <w:right w:val="nil"/>
            </w:tcBorders>
            <w:shd w:val="clear" w:color="auto" w:fill="999999"/>
          </w:tcPr>
          <w:p w14:paraId="0D7560E9">
            <w:pPr>
              <w:pStyle w:val="10"/>
              <w:ind w:left="104"/>
              <w:rPr>
                <w:sz w:val="22"/>
              </w:rPr>
            </w:pPr>
          </w:p>
        </w:tc>
        <w:tc>
          <w:tcPr>
            <w:tcW w:w="3362" w:type="dxa"/>
            <w:tcBorders>
              <w:left w:val="nil"/>
              <w:right w:val="nil"/>
            </w:tcBorders>
            <w:shd w:val="clear" w:color="auto" w:fill="999999"/>
          </w:tcPr>
          <w:p w14:paraId="55EFF3B4">
            <w:pPr>
              <w:pStyle w:val="10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right w:val="nil"/>
            </w:tcBorders>
            <w:shd w:val="clear" w:color="auto" w:fill="999999"/>
          </w:tcPr>
          <w:p w14:paraId="69528B89">
            <w:pPr>
              <w:pStyle w:val="10"/>
              <w:ind w:left="103" w:right="202"/>
              <w:rPr>
                <w:sz w:val="22"/>
              </w:rPr>
            </w:pPr>
            <w:r>
              <w:rPr>
                <w:color w:val="585858"/>
                <w:spacing w:val="-4"/>
                <w:w w:val="105"/>
                <w:sz w:val="22"/>
              </w:rPr>
              <w:t>Team Member</w:t>
            </w:r>
            <w:r>
              <w:rPr>
                <w:color w:val="585858"/>
                <w:spacing w:val="-10"/>
                <w:w w:val="105"/>
                <w:sz w:val="22"/>
              </w:rPr>
              <w:t xml:space="preserve"> </w:t>
            </w:r>
            <w:r>
              <w:rPr>
                <w:color w:val="585858"/>
                <w:spacing w:val="-4"/>
                <w:w w:val="105"/>
                <w:sz w:val="22"/>
              </w:rPr>
              <w:t>3</w:t>
            </w:r>
          </w:p>
        </w:tc>
      </w:tr>
      <w:tr w14:paraId="466185F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5" w:hRule="atLeast"/>
        </w:trPr>
        <w:tc>
          <w:tcPr>
            <w:tcW w:w="970" w:type="dxa"/>
            <w:tcBorders>
              <w:left w:val="nil"/>
              <w:bottom w:val="nil"/>
            </w:tcBorders>
            <w:shd w:val="clear" w:color="auto" w:fill="000000"/>
          </w:tcPr>
          <w:p w14:paraId="381FF427">
            <w:pPr>
              <w:pStyle w:val="1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w w:val="105"/>
                <w:sz w:val="22"/>
              </w:rPr>
              <w:t>6.</w:t>
            </w:r>
          </w:p>
        </w:tc>
        <w:tc>
          <w:tcPr>
            <w:tcW w:w="1541" w:type="dxa"/>
            <w:tcBorders>
              <w:bottom w:val="nil"/>
              <w:right w:val="nil"/>
            </w:tcBorders>
            <w:shd w:val="clear" w:color="auto" w:fill="CCCCCC"/>
          </w:tcPr>
          <w:p w14:paraId="290DBC6F">
            <w:pPr>
              <w:pStyle w:val="10"/>
              <w:spacing w:before="122" w:line="237" w:lineRule="auto"/>
              <w:ind w:right="371"/>
              <w:rPr>
                <w:sz w:val="22"/>
              </w:rPr>
            </w:pPr>
            <w:r>
              <w:rPr>
                <w:color w:val="585858"/>
                <w:spacing w:val="-4"/>
                <w:w w:val="110"/>
                <w:sz w:val="22"/>
              </w:rPr>
              <w:t xml:space="preserve">ISHAA </w:t>
            </w:r>
            <w:r>
              <w:rPr>
                <w:color w:val="585858"/>
                <w:spacing w:val="-2"/>
                <w:sz w:val="22"/>
              </w:rPr>
              <w:t>NANGARE</w:t>
            </w:r>
          </w:p>
        </w:tc>
        <w:tc>
          <w:tcPr>
            <w:tcW w:w="174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44CEBA99">
            <w:pPr>
              <w:pStyle w:val="10"/>
              <w:ind w:left="104"/>
              <w:rPr>
                <w:sz w:val="22"/>
              </w:rPr>
            </w:pPr>
            <w:bookmarkStart w:id="1" w:name="_GoBack"/>
            <w:bookmarkEnd w:id="1"/>
          </w:p>
        </w:tc>
        <w:tc>
          <w:tcPr>
            <w:tcW w:w="3362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1A6572BB">
            <w:pPr>
              <w:pStyle w:val="10"/>
              <w:ind w:left="109"/>
              <w:rPr>
                <w:sz w:val="22"/>
              </w:rPr>
            </w:pPr>
          </w:p>
        </w:tc>
        <w:tc>
          <w:tcPr>
            <w:tcW w:w="127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747A1321">
            <w:pPr>
              <w:pStyle w:val="10"/>
              <w:spacing w:before="122" w:line="237" w:lineRule="auto"/>
              <w:ind w:left="103" w:right="202"/>
              <w:rPr>
                <w:sz w:val="22"/>
              </w:rPr>
            </w:pPr>
            <w:r>
              <w:rPr>
                <w:color w:val="585858"/>
                <w:spacing w:val="-4"/>
                <w:w w:val="105"/>
                <w:sz w:val="22"/>
              </w:rPr>
              <w:t>Team Member</w:t>
            </w:r>
            <w:r>
              <w:rPr>
                <w:color w:val="585858"/>
                <w:spacing w:val="-10"/>
                <w:w w:val="105"/>
                <w:sz w:val="22"/>
              </w:rPr>
              <w:t xml:space="preserve"> </w:t>
            </w:r>
            <w:r>
              <w:rPr>
                <w:color w:val="585858"/>
                <w:spacing w:val="-4"/>
                <w:w w:val="105"/>
                <w:sz w:val="22"/>
              </w:rPr>
              <w:t>4</w:t>
            </w:r>
          </w:p>
        </w:tc>
      </w:tr>
    </w:tbl>
    <w:p w14:paraId="0C53B69F">
      <w:pPr>
        <w:pStyle w:val="10"/>
        <w:spacing w:after="0" w:line="237" w:lineRule="auto"/>
        <w:rPr>
          <w:sz w:val="22"/>
        </w:rPr>
        <w:sectPr>
          <w:footerReference r:id="rId5" w:type="default"/>
          <w:pgSz w:w="12240" w:h="15840"/>
          <w:pgMar w:top="680" w:right="720" w:bottom="980" w:left="360" w:header="0" w:footer="782" w:gutter="0"/>
          <w:pgNumType w:start="1"/>
          <w:cols w:space="720" w:num="1"/>
        </w:sectPr>
      </w:pPr>
    </w:p>
    <w:p w14:paraId="5E1A3F5E">
      <w:pPr>
        <w:spacing w:line="240" w:lineRule="auto"/>
        <w:ind w:left="2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8950" cy="381000"/>
                <wp:effectExtent l="9525" t="0" r="0" b="9525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0" cy="381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FC91F8">
                            <w:pPr>
                              <w:spacing w:before="186"/>
                              <w:ind w:left="145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REPORT:</w:t>
                            </w:r>
                            <w:r>
                              <w:rPr>
                                <w:color w:val="585858"/>
                                <w:spacing w:val="-5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Increasing</w:t>
                            </w:r>
                            <w:r>
                              <w:rPr>
                                <w:color w:val="585858"/>
                                <w:spacing w:val="-4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Participation</w:t>
                            </w:r>
                            <w:r>
                              <w:rPr>
                                <w:color w:val="585858"/>
                                <w:spacing w:val="-5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In</w:t>
                            </w:r>
                            <w:r>
                              <w:rPr>
                                <w:color w:val="585858"/>
                                <w:spacing w:val="-5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color w:val="585858"/>
                                <w:spacing w:val="-2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stock</w:t>
                            </w:r>
                            <w:r>
                              <w:rPr>
                                <w:color w:val="585858"/>
                                <w:spacing w:val="-4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Market</w:t>
                            </w:r>
                            <w:r>
                              <w:rPr>
                                <w:color w:val="585858"/>
                                <w:spacing w:val="-2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,Pre</w:t>
                            </w:r>
                            <w:r>
                              <w:rPr>
                                <w:color w:val="585858"/>
                                <w:spacing w:val="-2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color w:val="585858"/>
                                <w:spacing w:val="-4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w w:val="105"/>
                                <w:sz w:val="32"/>
                              </w:rPr>
                              <w:t>Post</w:t>
                            </w:r>
                            <w:r>
                              <w:rPr>
                                <w:color w:val="585858"/>
                                <w:spacing w:val="-3"/>
                                <w:w w:val="10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2"/>
                                <w:w w:val="105"/>
                                <w:sz w:val="32"/>
                              </w:rPr>
                              <w:t>COVID-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30pt;width:538.5pt;" filled="f" stroked="t" coordsize="21600,21600" o:gfxdata="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SMXkp1wAAAAUBAAAP&#10;AAAAAAAAAAEAIAAAACIAAABkcnMvZG93bnJldi54bWxQSwECFAAUAAAACACHTuJA9oNyV+ABAADX&#10;AwAADgAAAAAAAAABACAAAAAmAQAAZHJzL2Uyb0RvYy54bWxQSwUGAAAAAAYABgBZAQAAeA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04FC91F8">
                      <w:pPr>
                        <w:spacing w:before="186"/>
                        <w:ind w:left="145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585858"/>
                          <w:w w:val="105"/>
                          <w:sz w:val="32"/>
                        </w:rPr>
                        <w:t>REPORT:</w:t>
                      </w:r>
                      <w:r>
                        <w:rPr>
                          <w:color w:val="585858"/>
                          <w:spacing w:val="-5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Increasing</w:t>
                      </w:r>
                      <w:r>
                        <w:rPr>
                          <w:color w:val="585858"/>
                          <w:spacing w:val="-4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Participation</w:t>
                      </w:r>
                      <w:r>
                        <w:rPr>
                          <w:color w:val="585858"/>
                          <w:spacing w:val="-5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In</w:t>
                      </w:r>
                      <w:r>
                        <w:rPr>
                          <w:color w:val="585858"/>
                          <w:spacing w:val="-5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The</w:t>
                      </w:r>
                      <w:r>
                        <w:rPr>
                          <w:color w:val="585858"/>
                          <w:spacing w:val="-2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stock</w:t>
                      </w:r>
                      <w:r>
                        <w:rPr>
                          <w:color w:val="585858"/>
                          <w:spacing w:val="-4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Market</w:t>
                      </w:r>
                      <w:r>
                        <w:rPr>
                          <w:color w:val="585858"/>
                          <w:spacing w:val="-2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,Pre</w:t>
                      </w:r>
                      <w:r>
                        <w:rPr>
                          <w:color w:val="585858"/>
                          <w:spacing w:val="-2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and</w:t>
                      </w:r>
                      <w:r>
                        <w:rPr>
                          <w:color w:val="585858"/>
                          <w:spacing w:val="-4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w w:val="105"/>
                          <w:sz w:val="32"/>
                        </w:rPr>
                        <w:t>Post</w:t>
                      </w:r>
                      <w:r>
                        <w:rPr>
                          <w:color w:val="585858"/>
                          <w:spacing w:val="-3"/>
                          <w:w w:val="105"/>
                          <w:sz w:val="32"/>
                        </w:rPr>
                        <w:t xml:space="preserve"> </w:t>
                      </w:r>
                      <w:r>
                        <w:rPr>
                          <w:color w:val="585858"/>
                          <w:spacing w:val="-2"/>
                          <w:w w:val="105"/>
                          <w:sz w:val="32"/>
                        </w:rPr>
                        <w:t>COVID-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E6C0CF2">
      <w:pPr>
        <w:pStyle w:val="6"/>
        <w:rPr>
          <w:sz w:val="48"/>
        </w:rPr>
      </w:pPr>
    </w:p>
    <w:p w14:paraId="3935B680">
      <w:pPr>
        <w:pStyle w:val="6"/>
        <w:spacing w:before="107"/>
        <w:rPr>
          <w:sz w:val="48"/>
        </w:rPr>
      </w:pPr>
    </w:p>
    <w:p w14:paraId="72BE156C">
      <w:pPr>
        <w:spacing w:before="0"/>
        <w:ind w:left="1441" w:right="0" w:firstLine="0"/>
        <w:jc w:val="left"/>
        <w:rPr>
          <w:sz w:val="48"/>
        </w:rPr>
      </w:pPr>
      <w:r>
        <w:rPr>
          <w:color w:val="585858"/>
          <w:spacing w:val="-2"/>
          <w:w w:val="105"/>
          <w:sz w:val="48"/>
        </w:rPr>
        <w:t>Introduction:</w:t>
      </w:r>
    </w:p>
    <w:p w14:paraId="7409A28D">
      <w:pPr>
        <w:pStyle w:val="6"/>
        <w:spacing w:before="266" w:line="264" w:lineRule="auto"/>
        <w:ind w:left="1441" w:right="1074"/>
      </w:pPr>
      <w:r>
        <w:rPr>
          <w:color w:val="585858"/>
          <w:w w:val="105"/>
        </w:rPr>
        <w:t>The stock market has experienced significant shifts in participation, particularly among the youth, before and after the COVID-19 pandemic. This</w:t>
      </w:r>
      <w:r>
        <w:rPr>
          <w:color w:val="585858"/>
          <w:spacing w:val="-1"/>
          <w:w w:val="105"/>
        </w:rPr>
        <w:t xml:space="preserve"> </w:t>
      </w:r>
      <w:r>
        <w:rPr>
          <w:color w:val="585858"/>
          <w:w w:val="105"/>
        </w:rPr>
        <w:t>report aims to analyze the trends in stock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w w:val="105"/>
        </w:rPr>
        <w:t>market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participation,</w:t>
      </w:r>
      <w:r>
        <w:rPr>
          <w:color w:val="585858"/>
          <w:spacing w:val="-4"/>
          <w:w w:val="105"/>
        </w:rPr>
        <w:t xml:space="preserve"> </w:t>
      </w:r>
      <w:r>
        <w:rPr>
          <w:color w:val="585858"/>
          <w:w w:val="105"/>
        </w:rPr>
        <w:t>focusing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on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the attraction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of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youth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towards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w w:val="105"/>
        </w:rPr>
        <w:t>the</w:t>
      </w:r>
      <w:r>
        <w:rPr>
          <w:color w:val="585858"/>
          <w:spacing w:val="-6"/>
          <w:w w:val="105"/>
        </w:rPr>
        <w:t xml:space="preserve"> </w:t>
      </w:r>
      <w:r>
        <w:rPr>
          <w:color w:val="585858"/>
          <w:w w:val="105"/>
        </w:rPr>
        <w:t>stock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w w:val="105"/>
        </w:rPr>
        <w:t>market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for quick financial gains.</w:t>
      </w:r>
    </w:p>
    <w:p w14:paraId="6C0A5F63">
      <w:pPr>
        <w:pStyle w:val="6"/>
        <w:rPr>
          <w:sz w:val="20"/>
        </w:rPr>
      </w:pPr>
    </w:p>
    <w:p w14:paraId="43DC8E7E">
      <w:pPr>
        <w:pStyle w:val="6"/>
        <w:rPr>
          <w:sz w:val="20"/>
        </w:rPr>
      </w:pPr>
    </w:p>
    <w:p w14:paraId="0BFA3CF9">
      <w:pPr>
        <w:pStyle w:val="6"/>
        <w:rPr>
          <w:sz w:val="20"/>
        </w:rPr>
      </w:pPr>
    </w:p>
    <w:p w14:paraId="553F3EA6">
      <w:pPr>
        <w:pStyle w:val="6"/>
        <w:spacing w:before="189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290195</wp:posOffset>
            </wp:positionV>
            <wp:extent cx="5447665" cy="277368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737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9BCF3">
      <w:pPr>
        <w:pStyle w:val="6"/>
      </w:pPr>
    </w:p>
    <w:p w14:paraId="4B2D2B42">
      <w:pPr>
        <w:pStyle w:val="6"/>
      </w:pPr>
    </w:p>
    <w:p w14:paraId="69E4BE86">
      <w:pPr>
        <w:pStyle w:val="2"/>
        <w:spacing w:line="264" w:lineRule="auto"/>
        <w:ind w:right="1074"/>
      </w:pPr>
      <w:r>
        <w:rPr>
          <w:color w:val="585858"/>
          <w:w w:val="105"/>
        </w:rPr>
        <w:t>GARCH describes an approach to estimate volatility in financial markets.</w:t>
      </w:r>
    </w:p>
    <w:p w14:paraId="35DCA04E">
      <w:pPr>
        <w:pStyle w:val="6"/>
        <w:spacing w:before="448"/>
        <w:rPr>
          <w:sz w:val="40"/>
        </w:rPr>
      </w:pPr>
    </w:p>
    <w:p w14:paraId="48014800">
      <w:pPr>
        <w:spacing w:before="0"/>
        <w:ind w:left="1441" w:right="0" w:firstLine="0"/>
        <w:jc w:val="left"/>
        <w:rPr>
          <w:sz w:val="40"/>
        </w:rPr>
      </w:pPr>
      <w:r>
        <w:rPr>
          <w:color w:val="585858"/>
          <w:spacing w:val="10"/>
          <w:sz w:val="40"/>
        </w:rPr>
        <w:t>Pre-COVID</w:t>
      </w:r>
      <w:r>
        <w:rPr>
          <w:color w:val="585858"/>
          <w:spacing w:val="61"/>
          <w:sz w:val="40"/>
        </w:rPr>
        <w:t xml:space="preserve"> </w:t>
      </w:r>
      <w:r>
        <w:rPr>
          <w:color w:val="585858"/>
          <w:spacing w:val="-2"/>
          <w:sz w:val="40"/>
        </w:rPr>
        <w:t>Trends:</w:t>
      </w:r>
    </w:p>
    <w:p w14:paraId="48EC623D">
      <w:pPr>
        <w:pStyle w:val="6"/>
        <w:spacing w:before="254" w:line="264" w:lineRule="auto"/>
        <w:ind w:left="1441" w:right="1074"/>
      </w:pPr>
      <w:r>
        <w:rPr>
          <w:color w:val="585858"/>
          <w:w w:val="105"/>
        </w:rPr>
        <w:t>Before</w:t>
      </w:r>
      <w:r>
        <w:rPr>
          <w:color w:val="585858"/>
          <w:spacing w:val="-1"/>
          <w:w w:val="105"/>
        </w:rPr>
        <w:t xml:space="preserve"> </w:t>
      </w:r>
      <w:r>
        <w:rPr>
          <w:color w:val="585858"/>
          <w:w w:val="105"/>
        </w:rPr>
        <w:t>the</w:t>
      </w:r>
      <w:r>
        <w:rPr>
          <w:color w:val="585858"/>
          <w:spacing w:val="-1"/>
          <w:w w:val="105"/>
        </w:rPr>
        <w:t xml:space="preserve"> </w:t>
      </w:r>
      <w:r>
        <w:rPr>
          <w:color w:val="585858"/>
          <w:w w:val="105"/>
        </w:rPr>
        <w:t>pandemic, stock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market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participation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among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youth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was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gradually increasing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but remained relatively low compared to other age groups. Many young individuals were</w:t>
      </w:r>
    </w:p>
    <w:p w14:paraId="5DE7C216">
      <w:pPr>
        <w:pStyle w:val="6"/>
        <w:spacing w:after="0" w:line="264" w:lineRule="auto"/>
        <w:sectPr>
          <w:pgSz w:w="12240" w:h="15840"/>
          <w:pgMar w:top="740" w:right="720" w:bottom="980" w:left="360" w:header="0" w:footer="782" w:gutter="0"/>
          <w:cols w:space="720" w:num="1"/>
        </w:sectPr>
      </w:pPr>
    </w:p>
    <w:p w14:paraId="3A2427FA">
      <w:pPr>
        <w:pStyle w:val="6"/>
        <w:spacing w:before="71" w:line="264" w:lineRule="auto"/>
        <w:ind w:left="1441" w:right="1074"/>
      </w:pPr>
      <w:r>
        <w:rPr>
          <w:color w:val="585858"/>
          <w:w w:val="105"/>
        </w:rPr>
        <w:t>hesitant to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invest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in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stocks</w:t>
      </w:r>
      <w:r>
        <w:rPr>
          <w:color w:val="585858"/>
          <w:spacing w:val="-4"/>
          <w:w w:val="105"/>
        </w:rPr>
        <w:t xml:space="preserve"> </w:t>
      </w:r>
      <w:r>
        <w:rPr>
          <w:color w:val="585858"/>
          <w:w w:val="105"/>
        </w:rPr>
        <w:t>due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to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perceived complexity, lack</w:t>
      </w:r>
      <w:r>
        <w:rPr>
          <w:color w:val="585858"/>
          <w:spacing w:val="-4"/>
          <w:w w:val="105"/>
        </w:rPr>
        <w:t xml:space="preserve"> </w:t>
      </w:r>
      <w:r>
        <w:rPr>
          <w:color w:val="585858"/>
          <w:w w:val="105"/>
        </w:rPr>
        <w:t xml:space="preserve">of knowledge, and risk </w:t>
      </w:r>
      <w:r>
        <w:rPr>
          <w:color w:val="585858"/>
          <w:spacing w:val="-2"/>
          <w:w w:val="105"/>
        </w:rPr>
        <w:t>aversion.</w:t>
      </w:r>
    </w:p>
    <w:p w14:paraId="6E2A8F53">
      <w:pPr>
        <w:pStyle w:val="6"/>
        <w:rPr>
          <w:sz w:val="20"/>
        </w:rPr>
      </w:pPr>
    </w:p>
    <w:p w14:paraId="298E4CC3">
      <w:pPr>
        <w:pStyle w:val="6"/>
        <w:rPr>
          <w:sz w:val="20"/>
        </w:rPr>
      </w:pPr>
    </w:p>
    <w:p w14:paraId="519AB162">
      <w:pPr>
        <w:pStyle w:val="6"/>
        <w:rPr>
          <w:sz w:val="20"/>
        </w:rPr>
      </w:pPr>
    </w:p>
    <w:p w14:paraId="50E340DA">
      <w:pPr>
        <w:pStyle w:val="6"/>
        <w:spacing w:before="185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287655</wp:posOffset>
            </wp:positionV>
            <wp:extent cx="5000625" cy="33337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ACFFC">
      <w:pPr>
        <w:pStyle w:val="6"/>
        <w:spacing w:before="229"/>
      </w:pPr>
    </w:p>
    <w:p w14:paraId="711C772E">
      <w:pPr>
        <w:spacing w:before="0"/>
        <w:ind w:left="1441" w:right="0" w:firstLine="0"/>
        <w:jc w:val="left"/>
        <w:rPr>
          <w:sz w:val="28"/>
        </w:rPr>
      </w:pPr>
      <w:r>
        <w:rPr>
          <w:color w:val="585858"/>
          <w:w w:val="105"/>
          <w:sz w:val="28"/>
        </w:rPr>
        <w:t>Factors</w:t>
      </w:r>
      <w:r>
        <w:rPr>
          <w:color w:val="585858"/>
          <w:spacing w:val="-10"/>
          <w:w w:val="105"/>
          <w:sz w:val="28"/>
        </w:rPr>
        <w:t xml:space="preserve"> </w:t>
      </w:r>
      <w:r>
        <w:rPr>
          <w:color w:val="585858"/>
          <w:w w:val="105"/>
          <w:sz w:val="28"/>
        </w:rPr>
        <w:t>Attracting</w:t>
      </w:r>
      <w:r>
        <w:rPr>
          <w:color w:val="585858"/>
          <w:spacing w:val="-3"/>
          <w:w w:val="105"/>
          <w:sz w:val="28"/>
        </w:rPr>
        <w:t xml:space="preserve"> </w:t>
      </w:r>
      <w:r>
        <w:rPr>
          <w:color w:val="585858"/>
          <w:w w:val="105"/>
          <w:sz w:val="28"/>
        </w:rPr>
        <w:t>Youth</w:t>
      </w:r>
      <w:r>
        <w:rPr>
          <w:color w:val="585858"/>
          <w:spacing w:val="-3"/>
          <w:w w:val="105"/>
          <w:sz w:val="28"/>
        </w:rPr>
        <w:t xml:space="preserve"> </w:t>
      </w:r>
      <w:r>
        <w:rPr>
          <w:color w:val="585858"/>
          <w:w w:val="105"/>
          <w:sz w:val="28"/>
        </w:rPr>
        <w:t>to</w:t>
      </w:r>
      <w:r>
        <w:rPr>
          <w:color w:val="585858"/>
          <w:spacing w:val="-8"/>
          <w:w w:val="105"/>
          <w:sz w:val="28"/>
        </w:rPr>
        <w:t xml:space="preserve"> </w:t>
      </w:r>
      <w:r>
        <w:rPr>
          <w:color w:val="585858"/>
          <w:w w:val="105"/>
          <w:sz w:val="28"/>
        </w:rPr>
        <w:t>the</w:t>
      </w:r>
      <w:r>
        <w:rPr>
          <w:color w:val="585858"/>
          <w:spacing w:val="-6"/>
          <w:w w:val="105"/>
          <w:sz w:val="28"/>
        </w:rPr>
        <w:t xml:space="preserve"> </w:t>
      </w:r>
      <w:r>
        <w:rPr>
          <w:color w:val="585858"/>
          <w:w w:val="105"/>
          <w:sz w:val="28"/>
        </w:rPr>
        <w:t>Stock</w:t>
      </w:r>
      <w:r>
        <w:rPr>
          <w:color w:val="585858"/>
          <w:spacing w:val="-4"/>
          <w:w w:val="105"/>
          <w:sz w:val="28"/>
        </w:rPr>
        <w:t xml:space="preserve"> </w:t>
      </w:r>
      <w:r>
        <w:rPr>
          <w:color w:val="585858"/>
          <w:spacing w:val="-2"/>
          <w:w w:val="105"/>
          <w:sz w:val="28"/>
        </w:rPr>
        <w:t>Market:</w:t>
      </w:r>
    </w:p>
    <w:p w14:paraId="34F05945">
      <w:pPr>
        <w:pStyle w:val="6"/>
        <w:rPr>
          <w:sz w:val="28"/>
        </w:rPr>
      </w:pPr>
    </w:p>
    <w:p w14:paraId="5A3D829C">
      <w:pPr>
        <w:pStyle w:val="6"/>
        <w:spacing w:before="47"/>
        <w:rPr>
          <w:sz w:val="28"/>
        </w:rPr>
      </w:pPr>
    </w:p>
    <w:p w14:paraId="4A770654">
      <w:pPr>
        <w:pStyle w:val="9"/>
        <w:numPr>
          <w:ilvl w:val="0"/>
          <w:numId w:val="1"/>
        </w:numPr>
        <w:tabs>
          <w:tab w:val="left" w:pos="2161"/>
        </w:tabs>
        <w:spacing w:before="0" w:after="0" w:line="264" w:lineRule="auto"/>
        <w:ind w:left="2161" w:right="1122" w:hanging="360"/>
        <w:jc w:val="left"/>
        <w:rPr>
          <w:sz w:val="22"/>
        </w:rPr>
      </w:pPr>
      <w:r>
        <w:rPr>
          <w:color w:val="585858"/>
          <w:w w:val="105"/>
          <w:sz w:val="22"/>
        </w:rPr>
        <w:t>Ease of Access: Online brokerage platforms made it easier for individuals, including the youth, to access the stock market from their smartphones or computers.</w:t>
      </w:r>
    </w:p>
    <w:p w14:paraId="5A8E396E">
      <w:pPr>
        <w:pStyle w:val="6"/>
        <w:spacing w:before="26"/>
      </w:pPr>
    </w:p>
    <w:p w14:paraId="3C632F91">
      <w:pPr>
        <w:pStyle w:val="9"/>
        <w:numPr>
          <w:ilvl w:val="0"/>
          <w:numId w:val="1"/>
        </w:numPr>
        <w:tabs>
          <w:tab w:val="left" w:pos="2161"/>
        </w:tabs>
        <w:spacing w:before="0" w:after="0" w:line="264" w:lineRule="auto"/>
        <w:ind w:left="2161" w:right="1399" w:hanging="360"/>
        <w:jc w:val="left"/>
        <w:rPr>
          <w:sz w:val="22"/>
        </w:rPr>
      </w:pPr>
      <w:r>
        <w:rPr>
          <w:color w:val="585858"/>
          <w:w w:val="105"/>
          <w:sz w:val="22"/>
        </w:rPr>
        <w:t>Educational Resources: Increased availability of educational resources, such as online courses, tutorials, and investment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apps, helped to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make the stock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 xml:space="preserve">market and provided guidance on investing strategies much clearer and easier to </w:t>
      </w:r>
      <w:r>
        <w:rPr>
          <w:color w:val="585858"/>
          <w:spacing w:val="-2"/>
          <w:w w:val="105"/>
          <w:sz w:val="22"/>
        </w:rPr>
        <w:t>understand.</w:t>
      </w:r>
    </w:p>
    <w:p w14:paraId="56948243">
      <w:pPr>
        <w:pStyle w:val="6"/>
      </w:pPr>
    </w:p>
    <w:p w14:paraId="217BD419">
      <w:pPr>
        <w:pStyle w:val="6"/>
        <w:spacing w:before="57"/>
      </w:pPr>
    </w:p>
    <w:p w14:paraId="5775D469">
      <w:pPr>
        <w:pStyle w:val="9"/>
        <w:numPr>
          <w:ilvl w:val="0"/>
          <w:numId w:val="1"/>
        </w:numPr>
        <w:tabs>
          <w:tab w:val="left" w:pos="2161"/>
        </w:tabs>
        <w:spacing w:before="0" w:after="0" w:line="264" w:lineRule="auto"/>
        <w:ind w:left="2161" w:right="1405" w:hanging="360"/>
        <w:jc w:val="left"/>
        <w:rPr>
          <w:sz w:val="22"/>
        </w:rPr>
      </w:pPr>
      <w:r>
        <w:rPr>
          <w:color w:val="585858"/>
          <w:w w:val="105"/>
          <w:sz w:val="22"/>
        </w:rPr>
        <w:t>Social Media Influence: Platforms like Telegram, Twitter, and TikTok played a significant role in popularizing stock trading among the youth. The rise of social media influencers and investment communities sharing tips and success stories attracted many young investors.</w:t>
      </w:r>
    </w:p>
    <w:p w14:paraId="2148A762">
      <w:pPr>
        <w:pStyle w:val="9"/>
        <w:spacing w:after="0" w:line="264" w:lineRule="auto"/>
        <w:jc w:val="left"/>
        <w:rPr>
          <w:sz w:val="22"/>
        </w:rPr>
        <w:sectPr>
          <w:pgSz w:w="12240" w:h="15840"/>
          <w:pgMar w:top="1660" w:right="720" w:bottom="980" w:left="360" w:header="0" w:footer="782" w:gutter="0"/>
          <w:cols w:space="720" w:num="1"/>
        </w:sectPr>
      </w:pPr>
    </w:p>
    <w:p w14:paraId="02675DF6">
      <w:pPr>
        <w:pStyle w:val="9"/>
        <w:numPr>
          <w:ilvl w:val="0"/>
          <w:numId w:val="1"/>
        </w:numPr>
        <w:tabs>
          <w:tab w:val="left" w:pos="2161"/>
        </w:tabs>
        <w:spacing w:before="206" w:after="0" w:line="264" w:lineRule="auto"/>
        <w:ind w:left="2161" w:right="1116" w:hanging="360"/>
        <w:jc w:val="both"/>
        <w:rPr>
          <w:sz w:val="22"/>
        </w:rPr>
      </w:pPr>
      <w:r>
        <w:rPr>
          <w:color w:val="585858"/>
          <w:w w:val="105"/>
          <w:sz w:val="22"/>
        </w:rPr>
        <w:t>Tech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Industry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Boom: The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rapid growth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of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technology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companies, particularly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during the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pre-COVID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era,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fueled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optimism among</w:t>
      </w:r>
      <w:r>
        <w:rPr>
          <w:color w:val="585858"/>
          <w:spacing w:val="-5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young</w:t>
      </w:r>
      <w:r>
        <w:rPr>
          <w:color w:val="585858"/>
          <w:spacing w:val="-5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investors,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who</w:t>
      </w:r>
      <w:r>
        <w:rPr>
          <w:color w:val="585858"/>
          <w:spacing w:val="-5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saw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opportunities for substantial returns in sectors like tech and renewable energy.</w:t>
      </w:r>
    </w:p>
    <w:p w14:paraId="04626246">
      <w:pPr>
        <w:pStyle w:val="6"/>
      </w:pPr>
    </w:p>
    <w:p w14:paraId="78DB39F9">
      <w:pPr>
        <w:pStyle w:val="6"/>
      </w:pPr>
    </w:p>
    <w:p w14:paraId="4385A04F">
      <w:pPr>
        <w:pStyle w:val="6"/>
      </w:pPr>
    </w:p>
    <w:p w14:paraId="67463564">
      <w:pPr>
        <w:pStyle w:val="6"/>
        <w:spacing w:before="109"/>
      </w:pPr>
    </w:p>
    <w:p w14:paraId="22529F14">
      <w:pPr>
        <w:pStyle w:val="2"/>
      </w:pPr>
      <w:r>
        <w:rPr>
          <w:color w:val="585858"/>
          <w:w w:val="110"/>
        </w:rPr>
        <w:t>Post-COVID</w:t>
      </w:r>
      <w:r>
        <w:rPr>
          <w:color w:val="585858"/>
          <w:spacing w:val="-9"/>
          <w:w w:val="110"/>
        </w:rPr>
        <w:t xml:space="preserve"> </w:t>
      </w:r>
      <w:r>
        <w:rPr>
          <w:color w:val="585858"/>
          <w:spacing w:val="-2"/>
          <w:w w:val="110"/>
        </w:rPr>
        <w:t>Trends:</w:t>
      </w:r>
    </w:p>
    <w:p w14:paraId="5B59341A">
      <w:pPr>
        <w:pStyle w:val="6"/>
        <w:spacing w:before="258" w:line="264" w:lineRule="auto"/>
        <w:ind w:left="1441" w:right="1236"/>
      </w:pPr>
      <w:r>
        <w:rPr>
          <w:color w:val="585858"/>
          <w:w w:val="105"/>
        </w:rPr>
        <w:t>The COVID-19 pandemic served as a catalyst for increased participation in the stock market among all age groups, including the youth.</w:t>
      </w:r>
    </w:p>
    <w:p w14:paraId="382B1C5E">
      <w:pPr>
        <w:pStyle w:val="6"/>
        <w:rPr>
          <w:sz w:val="6"/>
        </w:rPr>
      </w:pPr>
      <w:r>
        <w:rPr>
          <w:sz w:val="6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1278255</wp:posOffset>
            </wp:positionH>
            <wp:positionV relativeFrom="paragraph">
              <wp:posOffset>62230</wp:posOffset>
            </wp:positionV>
            <wp:extent cx="5480685" cy="44145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538" cy="441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3A067">
      <w:pPr>
        <w:pStyle w:val="6"/>
      </w:pPr>
    </w:p>
    <w:p w14:paraId="21E3B71F">
      <w:pPr>
        <w:pStyle w:val="6"/>
      </w:pPr>
    </w:p>
    <w:p w14:paraId="47371A05">
      <w:pPr>
        <w:pStyle w:val="6"/>
      </w:pPr>
    </w:p>
    <w:p w14:paraId="52D3A80A">
      <w:pPr>
        <w:pStyle w:val="6"/>
      </w:pPr>
    </w:p>
    <w:p w14:paraId="26070EFB">
      <w:pPr>
        <w:pStyle w:val="6"/>
        <w:spacing w:before="148"/>
      </w:pPr>
    </w:p>
    <w:p w14:paraId="6FF81527">
      <w:pPr>
        <w:pStyle w:val="3"/>
        <w:ind w:left="1441"/>
      </w:pPr>
      <w:r>
        <w:rPr>
          <w:color w:val="585858"/>
          <w:w w:val="105"/>
        </w:rPr>
        <w:t>The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following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factors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contributed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to</w:t>
      </w:r>
      <w:r>
        <w:rPr>
          <w:color w:val="585858"/>
          <w:spacing w:val="-17"/>
          <w:w w:val="105"/>
        </w:rPr>
        <w:t xml:space="preserve"> </w:t>
      </w:r>
      <w:r>
        <w:rPr>
          <w:color w:val="585858"/>
          <w:w w:val="105"/>
        </w:rPr>
        <w:t>this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spacing w:val="-2"/>
          <w:w w:val="105"/>
        </w:rPr>
        <w:t>trend:</w:t>
      </w:r>
    </w:p>
    <w:p w14:paraId="404C3F1D">
      <w:pPr>
        <w:pStyle w:val="3"/>
        <w:spacing w:after="0"/>
        <w:sectPr>
          <w:pgSz w:w="12240" w:h="15840"/>
          <w:pgMar w:top="1820" w:right="720" w:bottom="980" w:left="360" w:header="0" w:footer="782" w:gutter="0"/>
          <w:cols w:space="720" w:num="1"/>
        </w:sectPr>
      </w:pPr>
    </w:p>
    <w:p w14:paraId="09264FF1">
      <w:pPr>
        <w:pStyle w:val="6"/>
        <w:spacing w:before="137"/>
      </w:pPr>
    </w:p>
    <w:p w14:paraId="550D0217">
      <w:pPr>
        <w:pStyle w:val="9"/>
        <w:numPr>
          <w:ilvl w:val="0"/>
          <w:numId w:val="2"/>
        </w:numPr>
        <w:tabs>
          <w:tab w:val="left" w:pos="2161"/>
        </w:tabs>
        <w:spacing w:before="1" w:after="0" w:line="264" w:lineRule="auto"/>
        <w:ind w:left="2161" w:right="1229" w:hanging="360"/>
        <w:jc w:val="left"/>
        <w:rPr>
          <w:sz w:val="22"/>
        </w:rPr>
      </w:pPr>
      <w:r>
        <w:rPr>
          <w:color w:val="585858"/>
          <w:w w:val="105"/>
          <w:sz w:val="22"/>
        </w:rPr>
        <w:t>Remote Work and Increased Time: Lockdowns and remote work arrangements provided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individuals, especially</w:t>
      </w:r>
      <w:r>
        <w:rPr>
          <w:color w:val="585858"/>
          <w:spacing w:val="-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young professionals &amp; students, with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more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time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to explore investment opportunities and engage in stock trading.</w:t>
      </w:r>
    </w:p>
    <w:p w14:paraId="3FE4C700">
      <w:pPr>
        <w:pStyle w:val="6"/>
        <w:spacing w:before="25"/>
      </w:pPr>
    </w:p>
    <w:p w14:paraId="61875174">
      <w:pPr>
        <w:pStyle w:val="9"/>
        <w:numPr>
          <w:ilvl w:val="0"/>
          <w:numId w:val="2"/>
        </w:numPr>
        <w:tabs>
          <w:tab w:val="left" w:pos="2161"/>
        </w:tabs>
        <w:spacing w:before="0" w:after="0" w:line="264" w:lineRule="auto"/>
        <w:ind w:left="2161" w:right="1351" w:hanging="360"/>
        <w:jc w:val="left"/>
        <w:rPr>
          <w:sz w:val="22"/>
        </w:rPr>
      </w:pPr>
      <w:r>
        <w:rPr>
          <w:color w:val="585858"/>
          <w:w w:val="105"/>
          <w:sz w:val="22"/>
        </w:rPr>
        <w:t>Market</w:t>
      </w:r>
      <w:r>
        <w:rPr>
          <w:color w:val="585858"/>
          <w:spacing w:val="-10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Volatility:</w:t>
      </w:r>
      <w:r>
        <w:rPr>
          <w:color w:val="585858"/>
          <w:spacing w:val="-6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The</w:t>
      </w:r>
      <w:r>
        <w:rPr>
          <w:color w:val="585858"/>
          <w:spacing w:val="-9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volatility</w:t>
      </w:r>
      <w:r>
        <w:rPr>
          <w:color w:val="585858"/>
          <w:spacing w:val="-8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induced</w:t>
      </w:r>
      <w:r>
        <w:rPr>
          <w:color w:val="585858"/>
          <w:spacing w:val="-7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by</w:t>
      </w:r>
      <w:r>
        <w:rPr>
          <w:color w:val="585858"/>
          <w:spacing w:val="-8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the</w:t>
      </w:r>
      <w:r>
        <w:rPr>
          <w:color w:val="585858"/>
          <w:spacing w:val="-9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pandemic</w:t>
      </w:r>
      <w:r>
        <w:rPr>
          <w:color w:val="585858"/>
          <w:spacing w:val="-9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presented</w:t>
      </w:r>
      <w:r>
        <w:rPr>
          <w:color w:val="585858"/>
          <w:spacing w:val="-7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both</w:t>
      </w:r>
      <w:r>
        <w:rPr>
          <w:color w:val="585858"/>
          <w:spacing w:val="-10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risks</w:t>
      </w:r>
      <w:r>
        <w:rPr>
          <w:color w:val="585858"/>
          <w:spacing w:val="-11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and opportunities for investors. Many young traders saw the market downturns as buying</w:t>
      </w:r>
      <w:r>
        <w:rPr>
          <w:color w:val="585858"/>
          <w:spacing w:val="-4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opportunities, while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others</w:t>
      </w:r>
      <w:r>
        <w:rPr>
          <w:color w:val="585858"/>
          <w:spacing w:val="-5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engaged in</w:t>
      </w:r>
      <w:r>
        <w:rPr>
          <w:color w:val="585858"/>
          <w:spacing w:val="-4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speculative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trading</w:t>
      </w:r>
      <w:r>
        <w:rPr>
          <w:color w:val="585858"/>
          <w:spacing w:val="-4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to</w:t>
      </w:r>
      <w:r>
        <w:rPr>
          <w:color w:val="585858"/>
          <w:spacing w:val="-4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capitalize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on short-term price fluctuations.</w:t>
      </w:r>
    </w:p>
    <w:p w14:paraId="5770C1C9">
      <w:pPr>
        <w:pStyle w:val="6"/>
      </w:pPr>
    </w:p>
    <w:p w14:paraId="4AFD0113">
      <w:pPr>
        <w:pStyle w:val="6"/>
        <w:spacing w:before="57"/>
      </w:pPr>
    </w:p>
    <w:p w14:paraId="7C795095">
      <w:pPr>
        <w:pStyle w:val="9"/>
        <w:numPr>
          <w:ilvl w:val="0"/>
          <w:numId w:val="2"/>
        </w:numPr>
        <w:tabs>
          <w:tab w:val="left" w:pos="2161"/>
        </w:tabs>
        <w:spacing w:before="0" w:after="0" w:line="264" w:lineRule="auto"/>
        <w:ind w:left="2161" w:right="1347" w:hanging="360"/>
        <w:jc w:val="left"/>
        <w:rPr>
          <w:sz w:val="22"/>
        </w:rPr>
      </w:pPr>
      <w:r>
        <w:rPr>
          <w:color w:val="585858"/>
          <w:w w:val="105"/>
          <w:sz w:val="22"/>
        </w:rPr>
        <w:t>Government Stimulus: Stimulus packages and relief measures provided by governments</w:t>
      </w:r>
      <w:r>
        <w:rPr>
          <w:color w:val="585858"/>
          <w:spacing w:val="-8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worldwide</w:t>
      </w:r>
      <w:r>
        <w:rPr>
          <w:color w:val="585858"/>
          <w:spacing w:val="-6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injected</w:t>
      </w:r>
      <w:r>
        <w:rPr>
          <w:color w:val="585858"/>
          <w:spacing w:val="40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into</w:t>
      </w:r>
      <w:r>
        <w:rPr>
          <w:color w:val="585858"/>
          <w:spacing w:val="-7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financial</w:t>
      </w:r>
      <w:r>
        <w:rPr>
          <w:color w:val="585858"/>
          <w:spacing w:val="-8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markets,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encouraging</w:t>
      </w:r>
      <w:r>
        <w:rPr>
          <w:color w:val="585858"/>
          <w:spacing w:val="-7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investors</w:t>
      </w:r>
      <w:r>
        <w:rPr>
          <w:color w:val="585858"/>
          <w:spacing w:val="-8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to enter the stock market.</w:t>
      </w:r>
    </w:p>
    <w:p w14:paraId="615A878E">
      <w:pPr>
        <w:pStyle w:val="6"/>
        <w:spacing w:before="25"/>
      </w:pPr>
    </w:p>
    <w:p w14:paraId="59307880">
      <w:pPr>
        <w:pStyle w:val="9"/>
        <w:numPr>
          <w:ilvl w:val="0"/>
          <w:numId w:val="2"/>
        </w:numPr>
        <w:tabs>
          <w:tab w:val="left" w:pos="2161"/>
        </w:tabs>
        <w:spacing w:before="0" w:after="0" w:line="264" w:lineRule="auto"/>
        <w:ind w:left="2161" w:right="1266" w:hanging="360"/>
        <w:jc w:val="left"/>
        <w:rPr>
          <w:sz w:val="22"/>
        </w:rPr>
      </w:pPr>
      <w:r>
        <w:rPr>
          <w:color w:val="585858"/>
          <w:w w:val="105"/>
          <w:sz w:val="22"/>
        </w:rPr>
        <w:t>Digital Payment Platforms: The rise of digital payment platforms and fintech innovations facilitated seamless transactions, making it easier for young investors to buy and sell stocks.</w:t>
      </w:r>
    </w:p>
    <w:p w14:paraId="12594D0F">
      <w:pPr>
        <w:pStyle w:val="6"/>
        <w:spacing w:before="26"/>
      </w:pPr>
    </w:p>
    <w:p w14:paraId="07AA1E95">
      <w:pPr>
        <w:pStyle w:val="9"/>
        <w:numPr>
          <w:ilvl w:val="0"/>
          <w:numId w:val="2"/>
        </w:numPr>
        <w:tabs>
          <w:tab w:val="left" w:pos="2161"/>
        </w:tabs>
        <w:spacing w:before="0" w:after="0" w:line="264" w:lineRule="auto"/>
        <w:ind w:left="2161" w:right="1298" w:hanging="360"/>
        <w:jc w:val="left"/>
        <w:rPr>
          <w:sz w:val="22"/>
        </w:rPr>
      </w:pPr>
      <w:r>
        <w:rPr>
          <w:color w:val="585858"/>
          <w:w w:val="105"/>
          <w:sz w:val="22"/>
        </w:rPr>
        <w:t>Gamification of Investing: Some brokerage platforms introduced gamification features, such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as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virtual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trading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competitions</w:t>
      </w:r>
      <w:r>
        <w:rPr>
          <w:color w:val="585858"/>
          <w:spacing w:val="-3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and rewards, which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appealed to</w:t>
      </w:r>
      <w:r>
        <w:rPr>
          <w:color w:val="585858"/>
          <w:spacing w:val="-2"/>
          <w:w w:val="105"/>
          <w:sz w:val="22"/>
        </w:rPr>
        <w:t xml:space="preserve"> </w:t>
      </w:r>
      <w:r>
        <w:rPr>
          <w:color w:val="585858"/>
          <w:w w:val="105"/>
          <w:sz w:val="22"/>
        </w:rPr>
        <w:t>the gaming-oriented mindset of many young investors.</w:t>
      </w:r>
    </w:p>
    <w:p w14:paraId="0DEE2DF1">
      <w:pPr>
        <w:pStyle w:val="6"/>
      </w:pPr>
    </w:p>
    <w:p w14:paraId="79051443">
      <w:pPr>
        <w:pStyle w:val="6"/>
      </w:pPr>
    </w:p>
    <w:p w14:paraId="11FAB1D8">
      <w:pPr>
        <w:pStyle w:val="6"/>
        <w:spacing w:before="188"/>
      </w:pPr>
    </w:p>
    <w:p w14:paraId="3D03E7C5">
      <w:pPr>
        <w:pStyle w:val="6"/>
        <w:spacing w:before="1"/>
        <w:ind w:left="1441"/>
      </w:pPr>
      <w:r>
        <w:rPr>
          <w:color w:val="585858"/>
          <w:spacing w:val="2"/>
        </w:rPr>
        <w:t>REAL</w:t>
      </w:r>
      <w:r>
        <w:rPr>
          <w:color w:val="585858"/>
          <w:spacing w:val="34"/>
        </w:rPr>
        <w:t xml:space="preserve"> </w:t>
      </w:r>
      <w:r>
        <w:rPr>
          <w:color w:val="585858"/>
          <w:spacing w:val="2"/>
        </w:rPr>
        <w:t>NEWS</w:t>
      </w:r>
      <w:r>
        <w:rPr>
          <w:color w:val="585858"/>
          <w:spacing w:val="29"/>
        </w:rPr>
        <w:t xml:space="preserve"> </w:t>
      </w:r>
      <w:r>
        <w:rPr>
          <w:color w:val="585858"/>
          <w:spacing w:val="2"/>
        </w:rPr>
        <w:t>BEFORE</w:t>
      </w:r>
      <w:r>
        <w:rPr>
          <w:color w:val="585858"/>
          <w:spacing w:val="39"/>
        </w:rPr>
        <w:t xml:space="preserve"> </w:t>
      </w:r>
      <w:r>
        <w:rPr>
          <w:color w:val="585858"/>
          <w:spacing w:val="2"/>
        </w:rPr>
        <w:t>AND</w:t>
      </w:r>
      <w:r>
        <w:rPr>
          <w:color w:val="585858"/>
          <w:spacing w:val="31"/>
        </w:rPr>
        <w:t xml:space="preserve"> </w:t>
      </w:r>
      <w:r>
        <w:rPr>
          <w:color w:val="585858"/>
          <w:spacing w:val="2"/>
        </w:rPr>
        <w:t>AFTER</w:t>
      </w:r>
      <w:r>
        <w:rPr>
          <w:color w:val="585858"/>
          <w:spacing w:val="37"/>
        </w:rPr>
        <w:t xml:space="preserve"> </w:t>
      </w:r>
      <w:r>
        <w:rPr>
          <w:color w:val="585858"/>
          <w:spacing w:val="-2"/>
        </w:rPr>
        <w:t>PANDEMIC:</w:t>
      </w:r>
    </w:p>
    <w:p w14:paraId="231F56FC">
      <w:pPr>
        <w:pStyle w:val="6"/>
        <w:tabs>
          <w:tab w:val="left" w:pos="5462"/>
        </w:tabs>
        <w:spacing w:before="225"/>
        <w:ind w:left="2046"/>
        <w:rPr>
          <w:rFonts w:ascii="Times New Roman"/>
        </w:rPr>
      </w:pPr>
      <w:r>
        <w:rPr>
          <w:rFonts w:ascii="Times New Roman"/>
          <w:color w:val="585858"/>
        </w:rPr>
        <w:t>According</w:t>
      </w:r>
      <w:r>
        <w:rPr>
          <w:rFonts w:ascii="Times New Roman"/>
          <w:color w:val="585858"/>
          <w:spacing w:val="-3"/>
        </w:rPr>
        <w:t xml:space="preserve"> </w:t>
      </w:r>
      <w:r>
        <w:rPr>
          <w:rFonts w:ascii="Times New Roman"/>
          <w:color w:val="585858"/>
          <w:spacing w:val="-5"/>
        </w:rPr>
        <w:t>to:</w:t>
      </w:r>
      <w:r>
        <w:rPr>
          <w:rFonts w:ascii="Times New Roman"/>
          <w:color w:val="585858"/>
        </w:rPr>
        <w:tab/>
      </w:r>
      <w:r>
        <w:rPr>
          <w:rFonts w:ascii="Times New Roman"/>
          <w:color w:val="585858"/>
        </w:rPr>
        <w:t>THE</w:t>
      </w:r>
      <w:r>
        <w:rPr>
          <w:rFonts w:ascii="Times New Roman"/>
          <w:color w:val="585858"/>
          <w:spacing w:val="-3"/>
        </w:rPr>
        <w:t xml:space="preserve"> </w:t>
      </w:r>
      <w:r>
        <w:rPr>
          <w:rFonts w:ascii="Times New Roman"/>
          <w:color w:val="585858"/>
        </w:rPr>
        <w:t>TIMES OF</w:t>
      </w:r>
      <w:r>
        <w:rPr>
          <w:rFonts w:ascii="Times New Roman"/>
          <w:color w:val="585858"/>
          <w:spacing w:val="-3"/>
        </w:rPr>
        <w:t xml:space="preserve"> </w:t>
      </w:r>
      <w:r>
        <w:rPr>
          <w:rFonts w:ascii="Times New Roman"/>
          <w:color w:val="585858"/>
          <w:spacing w:val="-2"/>
        </w:rPr>
        <w:t>INDIA</w:t>
      </w:r>
    </w:p>
    <w:p w14:paraId="30A13601">
      <w:pPr>
        <w:pStyle w:val="6"/>
        <w:spacing w:before="227" w:line="264" w:lineRule="auto"/>
        <w:ind w:left="1441" w:right="1074"/>
        <w:rPr>
          <w:rFonts w:ascii="Verdana"/>
        </w:rPr>
      </w:pPr>
      <w:r>
        <w:rPr>
          <w:rFonts w:ascii="Verdana"/>
          <w:color w:val="1A1A1A"/>
        </w:rPr>
        <w:t>Between</w:t>
      </w:r>
      <w:r>
        <w:rPr>
          <w:rFonts w:ascii="Verdana"/>
          <w:color w:val="1A1A1A"/>
          <w:spacing w:val="-20"/>
        </w:rPr>
        <w:t xml:space="preserve"> </w:t>
      </w:r>
      <w:r>
        <w:rPr>
          <w:rFonts w:ascii="Verdana"/>
          <w:color w:val="1A1A1A"/>
        </w:rPr>
        <w:t>May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2020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and</w:t>
      </w:r>
      <w:r>
        <w:rPr>
          <w:rFonts w:ascii="Verdana"/>
          <w:color w:val="1A1A1A"/>
          <w:spacing w:val="-20"/>
        </w:rPr>
        <w:t xml:space="preserve"> </w:t>
      </w:r>
      <w:r>
        <w:rPr>
          <w:rFonts w:ascii="Verdana"/>
          <w:color w:val="1A1A1A"/>
        </w:rPr>
        <w:t>September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2021,</w:t>
      </w:r>
      <w:r>
        <w:rPr>
          <w:rFonts w:ascii="Verdana"/>
          <w:color w:val="1A1A1A"/>
          <w:spacing w:val="-20"/>
        </w:rPr>
        <w:t xml:space="preserve"> </w:t>
      </w:r>
      <w:r>
        <w:rPr>
          <w:rFonts w:ascii="Verdana"/>
          <w:color w:val="1A1A1A"/>
        </w:rPr>
        <w:t>the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user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base</w:t>
      </w:r>
      <w:r>
        <w:rPr>
          <w:rFonts w:ascii="Verdana"/>
          <w:color w:val="1A1A1A"/>
          <w:spacing w:val="-20"/>
        </w:rPr>
        <w:t xml:space="preserve"> </w:t>
      </w:r>
      <w:r>
        <w:rPr>
          <w:rFonts w:ascii="Verdana"/>
          <w:color w:val="1A1A1A"/>
        </w:rPr>
        <w:t>of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BSE</w:t>
      </w:r>
      <w:r>
        <w:rPr>
          <w:rFonts w:ascii="Verdana"/>
          <w:color w:val="1A1A1A"/>
          <w:spacing w:val="-19"/>
        </w:rPr>
        <w:t xml:space="preserve"> </w:t>
      </w:r>
      <w:r>
        <w:rPr>
          <w:rFonts w:ascii="Verdana"/>
          <w:color w:val="1A1A1A"/>
        </w:rPr>
        <w:t>nearly</w:t>
      </w:r>
      <w:r>
        <w:rPr>
          <w:rFonts w:ascii="Verdana"/>
          <w:color w:val="1A1A1A"/>
          <w:spacing w:val="-20"/>
        </w:rPr>
        <w:t xml:space="preserve"> </w:t>
      </w:r>
      <w:r>
        <w:rPr>
          <w:rFonts w:ascii="Verdana"/>
          <w:color w:val="1A1A1A"/>
        </w:rPr>
        <w:t>doubled to</w:t>
      </w:r>
      <w:r>
        <w:rPr>
          <w:rFonts w:ascii="Verdana"/>
          <w:color w:val="1A1A1A"/>
          <w:spacing w:val="-12"/>
        </w:rPr>
        <w:t xml:space="preserve"> </w:t>
      </w:r>
      <w:r>
        <w:rPr>
          <w:rFonts w:ascii="Verdana"/>
          <w:color w:val="1A1A1A"/>
        </w:rPr>
        <w:t>over</w:t>
      </w:r>
      <w:r>
        <w:rPr>
          <w:rFonts w:ascii="Verdana"/>
          <w:color w:val="1A1A1A"/>
          <w:spacing w:val="-13"/>
        </w:rPr>
        <w:t xml:space="preserve"> </w:t>
      </w:r>
      <w:r>
        <w:rPr>
          <w:rFonts w:ascii="Verdana"/>
          <w:color w:val="1A1A1A"/>
        </w:rPr>
        <w:t>80</w:t>
      </w:r>
      <w:r>
        <w:rPr>
          <w:rFonts w:ascii="Verdana"/>
          <w:color w:val="1A1A1A"/>
          <w:spacing w:val="-14"/>
        </w:rPr>
        <w:t xml:space="preserve"> </w:t>
      </w:r>
      <w:r>
        <w:rPr>
          <w:rFonts w:ascii="Verdana"/>
          <w:color w:val="1A1A1A"/>
        </w:rPr>
        <w:t>million,</w:t>
      </w:r>
      <w:r>
        <w:rPr>
          <w:rFonts w:ascii="Verdana"/>
          <w:color w:val="1A1A1A"/>
          <w:spacing w:val="-14"/>
        </w:rPr>
        <w:t xml:space="preserve"> </w:t>
      </w:r>
      <w:r>
        <w:rPr>
          <w:rFonts w:ascii="Verdana"/>
          <w:color w:val="1A1A1A"/>
        </w:rPr>
        <w:t>of</w:t>
      </w:r>
      <w:r>
        <w:rPr>
          <w:rFonts w:ascii="Verdana"/>
          <w:color w:val="1A1A1A"/>
          <w:spacing w:val="-7"/>
        </w:rPr>
        <w:t xml:space="preserve"> </w:t>
      </w:r>
      <w:r>
        <w:rPr>
          <w:rFonts w:ascii="Verdana"/>
          <w:color w:val="1A1A1A"/>
        </w:rPr>
        <w:t>which</w:t>
      </w:r>
      <w:r>
        <w:rPr>
          <w:rFonts w:ascii="Verdana"/>
          <w:color w:val="1A1A1A"/>
          <w:spacing w:val="-13"/>
        </w:rPr>
        <w:t xml:space="preserve"> </w:t>
      </w:r>
      <w:r>
        <w:rPr>
          <w:rFonts w:ascii="Verdana"/>
          <w:color w:val="1A1A1A"/>
        </w:rPr>
        <w:t>the</w:t>
      </w:r>
      <w:r>
        <w:rPr>
          <w:rFonts w:ascii="Verdana"/>
          <w:color w:val="1A1A1A"/>
          <w:spacing w:val="-10"/>
        </w:rPr>
        <w:t xml:space="preserve"> </w:t>
      </w:r>
      <w:r>
        <w:rPr>
          <w:rFonts w:ascii="Verdana"/>
          <w:color w:val="1A1A1A"/>
        </w:rPr>
        <w:t>last</w:t>
      </w:r>
      <w:r>
        <w:rPr>
          <w:rFonts w:ascii="Verdana"/>
          <w:color w:val="1A1A1A"/>
          <w:spacing w:val="-11"/>
        </w:rPr>
        <w:t xml:space="preserve"> </w:t>
      </w:r>
      <w:r>
        <w:rPr>
          <w:rFonts w:ascii="Verdana"/>
          <w:color w:val="1A1A1A"/>
        </w:rPr>
        <w:t>10</w:t>
      </w:r>
      <w:r>
        <w:rPr>
          <w:rFonts w:ascii="Verdana"/>
          <w:color w:val="1A1A1A"/>
          <w:spacing w:val="-14"/>
        </w:rPr>
        <w:t xml:space="preserve"> </w:t>
      </w:r>
      <w:r>
        <w:rPr>
          <w:rFonts w:ascii="Verdana"/>
          <w:color w:val="1A1A1A"/>
        </w:rPr>
        <w:t>million</w:t>
      </w:r>
      <w:r>
        <w:rPr>
          <w:rFonts w:ascii="Verdana"/>
          <w:color w:val="1A1A1A"/>
          <w:spacing w:val="-9"/>
        </w:rPr>
        <w:t xml:space="preserve"> </w:t>
      </w:r>
      <w:r>
        <w:rPr>
          <w:rFonts w:ascii="Verdana"/>
          <w:color w:val="1A1A1A"/>
        </w:rPr>
        <w:t>were</w:t>
      </w:r>
      <w:r>
        <w:rPr>
          <w:rFonts w:ascii="Verdana"/>
          <w:color w:val="1A1A1A"/>
          <w:spacing w:val="-15"/>
        </w:rPr>
        <w:t xml:space="preserve"> </w:t>
      </w:r>
      <w:r>
        <w:rPr>
          <w:rFonts w:ascii="Verdana"/>
          <w:color w:val="1A1A1A"/>
        </w:rPr>
        <w:t>on-boarded</w:t>
      </w:r>
      <w:r>
        <w:rPr>
          <w:rFonts w:ascii="Verdana"/>
          <w:color w:val="1A1A1A"/>
          <w:spacing w:val="-16"/>
        </w:rPr>
        <w:t xml:space="preserve"> </w:t>
      </w:r>
      <w:r>
        <w:rPr>
          <w:rFonts w:ascii="Verdana"/>
          <w:color w:val="1A1A1A"/>
        </w:rPr>
        <w:t>only</w:t>
      </w:r>
      <w:r>
        <w:rPr>
          <w:rFonts w:ascii="Verdana"/>
          <w:color w:val="1A1A1A"/>
          <w:spacing w:val="-14"/>
        </w:rPr>
        <w:t xml:space="preserve"> </w:t>
      </w:r>
      <w:r>
        <w:rPr>
          <w:rFonts w:ascii="Verdana"/>
          <w:color w:val="1A1A1A"/>
        </w:rPr>
        <w:t>between the</w:t>
      </w:r>
      <w:r>
        <w:rPr>
          <w:rFonts w:ascii="Verdana"/>
          <w:color w:val="1A1A1A"/>
          <w:spacing w:val="-7"/>
        </w:rPr>
        <w:t xml:space="preserve"> </w:t>
      </w:r>
      <w:r>
        <w:rPr>
          <w:rFonts w:ascii="Verdana"/>
          <w:color w:val="1A1A1A"/>
        </w:rPr>
        <w:t>first</w:t>
      </w:r>
      <w:r>
        <w:rPr>
          <w:rFonts w:ascii="Verdana"/>
          <w:color w:val="1A1A1A"/>
          <w:spacing w:val="-7"/>
        </w:rPr>
        <w:t xml:space="preserve"> </w:t>
      </w:r>
      <w:r>
        <w:rPr>
          <w:rFonts w:ascii="Verdana"/>
          <w:color w:val="1A1A1A"/>
        </w:rPr>
        <w:t>week</w:t>
      </w:r>
      <w:r>
        <w:rPr>
          <w:rFonts w:ascii="Verdana"/>
          <w:color w:val="1A1A1A"/>
          <w:spacing w:val="-6"/>
        </w:rPr>
        <w:t xml:space="preserve"> </w:t>
      </w:r>
      <w:r>
        <w:rPr>
          <w:rFonts w:ascii="Verdana"/>
          <w:color w:val="1A1A1A"/>
        </w:rPr>
        <w:t>of</w:t>
      </w:r>
      <w:r>
        <w:rPr>
          <w:rFonts w:ascii="Verdana"/>
          <w:color w:val="1A1A1A"/>
          <w:spacing w:val="-2"/>
        </w:rPr>
        <w:t xml:space="preserve"> </w:t>
      </w:r>
      <w:r>
        <w:rPr>
          <w:rFonts w:ascii="Verdana"/>
          <w:color w:val="1A1A1A"/>
        </w:rPr>
        <w:t>June</w:t>
      </w:r>
      <w:r>
        <w:rPr>
          <w:rFonts w:ascii="Verdana"/>
          <w:color w:val="1A1A1A"/>
          <w:spacing w:val="-7"/>
        </w:rPr>
        <w:t xml:space="preserve"> </w:t>
      </w:r>
      <w:r>
        <w:rPr>
          <w:rFonts w:ascii="Verdana"/>
          <w:color w:val="1A1A1A"/>
        </w:rPr>
        <w:t>2021</w:t>
      </w:r>
      <w:r>
        <w:rPr>
          <w:rFonts w:ascii="Verdana"/>
          <w:color w:val="1A1A1A"/>
          <w:spacing w:val="-6"/>
        </w:rPr>
        <w:t xml:space="preserve"> </w:t>
      </w:r>
      <w:r>
        <w:rPr>
          <w:rFonts w:ascii="Verdana"/>
          <w:color w:val="1A1A1A"/>
        </w:rPr>
        <w:t>and</w:t>
      </w:r>
      <w:r>
        <w:rPr>
          <w:rFonts w:ascii="Verdana"/>
          <w:color w:val="1A1A1A"/>
          <w:spacing w:val="-2"/>
        </w:rPr>
        <w:t xml:space="preserve"> </w:t>
      </w:r>
      <w:r>
        <w:rPr>
          <w:rFonts w:ascii="Verdana"/>
          <w:color w:val="1A1A1A"/>
        </w:rPr>
        <w:t>the</w:t>
      </w:r>
      <w:r>
        <w:rPr>
          <w:rFonts w:ascii="Verdana"/>
          <w:color w:val="1A1A1A"/>
          <w:spacing w:val="-7"/>
        </w:rPr>
        <w:t xml:space="preserve"> </w:t>
      </w:r>
      <w:r>
        <w:rPr>
          <w:rFonts w:ascii="Verdana"/>
          <w:color w:val="1A1A1A"/>
        </w:rPr>
        <w:t>third</w:t>
      </w:r>
      <w:r>
        <w:rPr>
          <w:rFonts w:ascii="Verdana"/>
          <w:color w:val="1A1A1A"/>
          <w:spacing w:val="-8"/>
        </w:rPr>
        <w:t xml:space="preserve"> </w:t>
      </w:r>
      <w:r>
        <w:rPr>
          <w:rFonts w:ascii="Verdana"/>
          <w:color w:val="1A1A1A"/>
        </w:rPr>
        <w:t>week of</w:t>
      </w:r>
      <w:r>
        <w:rPr>
          <w:rFonts w:ascii="Verdana"/>
          <w:color w:val="1A1A1A"/>
          <w:spacing w:val="-2"/>
        </w:rPr>
        <w:t xml:space="preserve"> </w:t>
      </w:r>
      <w:r>
        <w:rPr>
          <w:rFonts w:ascii="Verdana"/>
          <w:color w:val="1A1A1A"/>
        </w:rPr>
        <w:t>September.</w:t>
      </w:r>
    </w:p>
    <w:p w14:paraId="26F89A49">
      <w:pPr>
        <w:pStyle w:val="6"/>
        <w:spacing w:before="203" w:line="264" w:lineRule="auto"/>
        <w:ind w:left="1441" w:right="1074"/>
        <w:rPr>
          <w:rFonts w:ascii="Verdana" w:hAnsi="Verdana"/>
        </w:rPr>
      </w:pPr>
      <w:r>
        <w:rPr>
          <w:rFonts w:ascii="Verdana" w:hAnsi="Verdana"/>
          <w:color w:val="1A1A1A"/>
        </w:rPr>
        <w:t>The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</w:rPr>
        <w:t>online</w:t>
      </w:r>
      <w:r>
        <w:rPr>
          <w:rFonts w:ascii="Verdana" w:hAnsi="Verdana"/>
          <w:color w:val="1A1A1A"/>
          <w:spacing w:val="-4"/>
        </w:rPr>
        <w:t xml:space="preserve"> </w:t>
      </w:r>
      <w:r>
        <w:rPr>
          <w:rFonts w:ascii="Verdana" w:hAnsi="Verdana"/>
          <w:color w:val="1A1A1A"/>
        </w:rPr>
        <w:t>survey</w:t>
      </w:r>
      <w:r>
        <w:rPr>
          <w:rFonts w:ascii="Verdana" w:hAnsi="Verdana"/>
          <w:color w:val="1A1A1A"/>
          <w:spacing w:val="-3"/>
        </w:rPr>
        <w:t xml:space="preserve"> </w:t>
      </w:r>
      <w:r>
        <w:rPr>
          <w:rFonts w:ascii="Verdana" w:hAnsi="Verdana"/>
          <w:color w:val="1A1A1A"/>
        </w:rPr>
        <w:t>was</w:t>
      </w:r>
      <w:r>
        <w:rPr>
          <w:rFonts w:ascii="Verdana" w:hAnsi="Verdana"/>
          <w:color w:val="1A1A1A"/>
          <w:spacing w:val="-7"/>
        </w:rPr>
        <w:t xml:space="preserve"> </w:t>
      </w:r>
      <w:r>
        <w:rPr>
          <w:rFonts w:ascii="Verdana" w:hAnsi="Verdana"/>
          <w:color w:val="1A1A1A"/>
        </w:rPr>
        <w:t>conducted</w:t>
      </w:r>
      <w:r>
        <w:rPr>
          <w:rFonts w:ascii="Verdana" w:hAnsi="Verdana"/>
          <w:color w:val="1A1A1A"/>
          <w:spacing w:val="-5"/>
        </w:rPr>
        <w:t xml:space="preserve"> </w:t>
      </w:r>
      <w:r>
        <w:rPr>
          <w:rFonts w:ascii="Verdana" w:hAnsi="Verdana"/>
          <w:color w:val="1A1A1A"/>
        </w:rPr>
        <w:t>among</w:t>
      </w:r>
      <w:r>
        <w:rPr>
          <w:rFonts w:ascii="Verdana" w:hAnsi="Verdana"/>
          <w:color w:val="1A1A1A"/>
          <w:spacing w:val="-10"/>
        </w:rPr>
        <w:t xml:space="preserve"> </w:t>
      </w:r>
      <w:r>
        <w:rPr>
          <w:rFonts w:ascii="Verdana" w:hAnsi="Verdana"/>
          <w:color w:val="1A1A1A"/>
        </w:rPr>
        <w:t>2</w:t>
      </w:r>
      <w:r>
        <w:rPr>
          <w:rFonts w:ascii="Verdana" w:hAnsi="Verdana"/>
          <w:color w:val="1A1A1A"/>
          <w:spacing w:val="-3"/>
        </w:rPr>
        <w:t xml:space="preserve"> </w:t>
      </w:r>
      <w:r>
        <w:rPr>
          <w:rFonts w:ascii="Verdana" w:hAnsi="Verdana"/>
          <w:color w:val="1A1A1A"/>
        </w:rPr>
        <w:t>lakh</w:t>
      </w:r>
      <w:r>
        <w:rPr>
          <w:rFonts w:ascii="Verdana" w:hAnsi="Verdana"/>
          <w:color w:val="1A1A1A"/>
          <w:spacing w:val="-7"/>
        </w:rPr>
        <w:t xml:space="preserve"> </w:t>
      </w:r>
      <w:r>
        <w:rPr>
          <w:rFonts w:ascii="Verdana" w:hAnsi="Verdana"/>
          <w:color w:val="1A1A1A"/>
        </w:rPr>
        <w:t>people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</w:rPr>
        <w:t>in</w:t>
      </w:r>
      <w:r>
        <w:rPr>
          <w:rFonts w:ascii="Verdana" w:hAnsi="Verdana"/>
          <w:color w:val="1A1A1A"/>
          <w:spacing w:val="-2"/>
        </w:rPr>
        <w:t xml:space="preserve"> </w:t>
      </w:r>
      <w:r>
        <w:rPr>
          <w:rFonts w:ascii="Verdana" w:hAnsi="Verdana"/>
          <w:color w:val="1A1A1A"/>
        </w:rPr>
        <w:t>the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</w:rPr>
        <w:t>18-50</w:t>
      </w:r>
      <w:r>
        <w:rPr>
          <w:rFonts w:ascii="Verdana" w:hAnsi="Verdana"/>
          <w:color w:val="1A1A1A"/>
          <w:spacing w:val="-3"/>
        </w:rPr>
        <w:t xml:space="preserve"> </w:t>
      </w:r>
      <w:r>
        <w:rPr>
          <w:rFonts w:ascii="Verdana" w:hAnsi="Verdana"/>
          <w:color w:val="1A1A1A"/>
        </w:rPr>
        <w:t xml:space="preserve">age </w:t>
      </w:r>
      <w:r>
        <w:rPr>
          <w:rFonts w:ascii="Verdana" w:hAnsi="Verdana"/>
          <w:color w:val="1A1A1A"/>
          <w:spacing w:val="-2"/>
        </w:rPr>
        <w:t>bracket</w:t>
      </w:r>
      <w:r>
        <w:rPr>
          <w:rFonts w:ascii="Verdana" w:hAnsi="Verdana"/>
          <w:color w:val="1A1A1A"/>
          <w:spacing w:val="-13"/>
        </w:rPr>
        <w:t xml:space="preserve"> </w:t>
      </w:r>
      <w:r>
        <w:rPr>
          <w:rFonts w:ascii="Verdana" w:hAnsi="Verdana"/>
          <w:color w:val="1A1A1A"/>
          <w:spacing w:val="-2"/>
        </w:rPr>
        <w:t>.According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  <w:spacing w:val="-2"/>
        </w:rPr>
        <w:t>to</w:t>
      </w:r>
      <w:r>
        <w:rPr>
          <w:rFonts w:ascii="Verdana" w:hAnsi="Verdana"/>
          <w:color w:val="1A1A1A"/>
          <w:spacing w:val="-10"/>
        </w:rPr>
        <w:t xml:space="preserve"> </w:t>
      </w:r>
      <w:r>
        <w:rPr>
          <w:rFonts w:ascii="Verdana" w:hAnsi="Verdana"/>
          <w:color w:val="1A1A1A"/>
          <w:spacing w:val="-2"/>
        </w:rPr>
        <w:t>the</w:t>
      </w:r>
      <w:r>
        <w:rPr>
          <w:rFonts w:ascii="Verdana" w:hAnsi="Verdana"/>
          <w:color w:val="1A1A1A"/>
          <w:spacing w:val="-13"/>
        </w:rPr>
        <w:t xml:space="preserve"> </w:t>
      </w:r>
      <w:r>
        <w:rPr>
          <w:rFonts w:ascii="Verdana" w:hAnsi="Verdana"/>
          <w:color w:val="1A1A1A"/>
          <w:spacing w:val="-2"/>
        </w:rPr>
        <w:t>survey</w:t>
      </w:r>
      <w:r>
        <w:rPr>
          <w:rFonts w:ascii="Verdana" w:hAnsi="Verdana"/>
          <w:color w:val="1A1A1A"/>
          <w:spacing w:val="-12"/>
        </w:rPr>
        <w:t xml:space="preserve"> </w:t>
      </w:r>
      <w:r>
        <w:rPr>
          <w:rFonts w:ascii="Verdana" w:hAnsi="Verdana"/>
          <w:color w:val="1A1A1A"/>
          <w:spacing w:val="-2"/>
        </w:rPr>
        <w:t>carried</w:t>
      </w:r>
      <w:r>
        <w:rPr>
          <w:rFonts w:ascii="Verdana" w:hAnsi="Verdana"/>
          <w:color w:val="1A1A1A"/>
          <w:spacing w:val="-14"/>
        </w:rPr>
        <w:t xml:space="preserve"> </w:t>
      </w:r>
      <w:r>
        <w:rPr>
          <w:rFonts w:ascii="Verdana" w:hAnsi="Verdana"/>
          <w:color w:val="1A1A1A"/>
          <w:spacing w:val="-2"/>
        </w:rPr>
        <w:t>out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  <w:spacing w:val="-2"/>
        </w:rPr>
        <w:t>by</w:t>
      </w:r>
      <w:r>
        <w:rPr>
          <w:rFonts w:ascii="Verdana" w:hAnsi="Verdana"/>
          <w:color w:val="1A1A1A"/>
          <w:spacing w:val="-7"/>
        </w:rPr>
        <w:t xml:space="preserve"> </w:t>
      </w:r>
      <w:r>
        <w:rPr>
          <w:rFonts w:ascii="Verdana" w:hAnsi="Verdana"/>
          <w:color w:val="1A1A1A"/>
          <w:spacing w:val="-2"/>
        </w:rPr>
        <w:t>an</w:t>
      </w:r>
      <w:r>
        <w:rPr>
          <w:rFonts w:ascii="Verdana" w:hAnsi="Verdana"/>
          <w:color w:val="1A1A1A"/>
          <w:spacing w:val="-11"/>
        </w:rPr>
        <w:t xml:space="preserve"> </w:t>
      </w:r>
      <w:r>
        <w:rPr>
          <w:rFonts w:ascii="Verdana" w:hAnsi="Verdana"/>
          <w:color w:val="1A1A1A"/>
          <w:spacing w:val="-2"/>
        </w:rPr>
        <w:t>online</w:t>
      </w:r>
      <w:r>
        <w:rPr>
          <w:rFonts w:ascii="Verdana" w:hAnsi="Verdana"/>
          <w:color w:val="1A1A1A"/>
          <w:spacing w:val="-13"/>
        </w:rPr>
        <w:t xml:space="preserve"> </w:t>
      </w:r>
      <w:r>
        <w:rPr>
          <w:rFonts w:ascii="Verdana" w:hAnsi="Verdana"/>
          <w:color w:val="1A1A1A"/>
          <w:spacing w:val="-2"/>
        </w:rPr>
        <w:t>investment</w:t>
      </w:r>
      <w:r>
        <w:rPr>
          <w:rFonts w:ascii="Verdana" w:hAnsi="Verdana"/>
          <w:color w:val="1A1A1A"/>
          <w:spacing w:val="-9"/>
        </w:rPr>
        <w:t xml:space="preserve"> </w:t>
      </w:r>
      <w:r>
        <w:rPr>
          <w:rFonts w:ascii="Verdana" w:hAnsi="Verdana"/>
          <w:color w:val="1A1A1A"/>
          <w:spacing w:val="-2"/>
        </w:rPr>
        <w:t xml:space="preserve">platform </w:t>
      </w:r>
      <w:r>
        <w:rPr>
          <w:rFonts w:ascii="Verdana" w:hAnsi="Verdana"/>
          <w:color w:val="1A1A1A"/>
        </w:rPr>
        <w:t>Groww</w:t>
      </w:r>
      <w:r>
        <w:rPr>
          <w:rFonts w:ascii="Verdana" w:hAnsi="Verdana"/>
          <w:color w:val="1A1A1A"/>
          <w:spacing w:val="-20"/>
        </w:rPr>
        <w:t xml:space="preserve"> </w:t>
      </w:r>
      <w:r>
        <w:rPr>
          <w:rFonts w:ascii="Verdana" w:hAnsi="Verdana"/>
          <w:color w:val="1A1A1A"/>
        </w:rPr>
        <w:t>,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as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much</w:t>
      </w:r>
      <w:r>
        <w:rPr>
          <w:rFonts w:ascii="Verdana" w:hAnsi="Verdana"/>
          <w:color w:val="1A1A1A"/>
          <w:spacing w:val="-20"/>
        </w:rPr>
        <w:t xml:space="preserve"> </w:t>
      </w:r>
      <w:r>
        <w:rPr>
          <w:rFonts w:ascii="Verdana" w:hAnsi="Verdana"/>
          <w:color w:val="1A1A1A"/>
        </w:rPr>
        <w:t>as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81</w:t>
      </w:r>
      <w:r>
        <w:rPr>
          <w:rFonts w:ascii="Verdana" w:hAnsi="Verdana"/>
          <w:color w:val="1A1A1A"/>
          <w:spacing w:val="-20"/>
        </w:rPr>
        <w:t xml:space="preserve"> </w:t>
      </w:r>
      <w:r>
        <w:rPr>
          <w:rFonts w:ascii="Verdana" w:hAnsi="Verdana"/>
          <w:color w:val="1A1A1A"/>
        </w:rPr>
        <w:t>per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cent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of</w:t>
      </w:r>
      <w:r>
        <w:rPr>
          <w:rFonts w:ascii="Verdana" w:hAnsi="Verdana"/>
          <w:color w:val="1A1A1A"/>
          <w:spacing w:val="-20"/>
        </w:rPr>
        <w:t xml:space="preserve"> </w:t>
      </w:r>
      <w:r>
        <w:rPr>
          <w:rFonts w:ascii="Verdana" w:hAnsi="Verdana"/>
          <w:color w:val="1A1A1A"/>
        </w:rPr>
        <w:t>the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survey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respondents</w:t>
      </w:r>
      <w:r>
        <w:rPr>
          <w:rFonts w:ascii="Verdana" w:hAnsi="Verdana"/>
          <w:color w:val="1A1A1A"/>
          <w:spacing w:val="-19"/>
        </w:rPr>
        <w:t xml:space="preserve"> </w:t>
      </w:r>
      <w:r>
        <w:rPr>
          <w:rFonts w:ascii="Verdana" w:hAnsi="Verdana"/>
          <w:color w:val="1A1A1A"/>
        </w:rPr>
        <w:t>are</w:t>
      </w:r>
      <w:r>
        <w:rPr>
          <w:rFonts w:ascii="Verdana" w:hAnsi="Verdana"/>
          <w:color w:val="1A1A1A"/>
          <w:spacing w:val="-17"/>
        </w:rPr>
        <w:t xml:space="preserve"> </w:t>
      </w:r>
      <w:r>
        <w:rPr>
          <w:rFonts w:ascii="Verdana" w:hAnsi="Verdana"/>
          <w:color w:val="1A1A1A"/>
        </w:rPr>
        <w:t>investing</w:t>
      </w:r>
      <w:r>
        <w:rPr>
          <w:rFonts w:ascii="Verdana" w:hAnsi="Verdana"/>
          <w:color w:val="1A1A1A"/>
          <w:spacing w:val="-20"/>
        </w:rPr>
        <w:t xml:space="preserve"> </w:t>
      </w:r>
      <w:r>
        <w:rPr>
          <w:rFonts w:ascii="Verdana" w:hAnsi="Verdana"/>
          <w:color w:val="1A1A1A"/>
        </w:rPr>
        <w:t>their money</w:t>
      </w:r>
      <w:r>
        <w:rPr>
          <w:rFonts w:ascii="Verdana" w:hAnsi="Verdana"/>
          <w:color w:val="1A1A1A"/>
          <w:spacing w:val="-4"/>
        </w:rPr>
        <w:t xml:space="preserve"> </w:t>
      </w:r>
      <w:r>
        <w:rPr>
          <w:rFonts w:ascii="Verdana" w:hAnsi="Verdana"/>
          <w:color w:val="1A1A1A"/>
        </w:rPr>
        <w:t>into</w:t>
      </w:r>
      <w:r>
        <w:rPr>
          <w:rFonts w:ascii="Verdana" w:hAnsi="Verdana"/>
          <w:color w:val="1A1A1A"/>
          <w:spacing w:val="-2"/>
        </w:rPr>
        <w:t xml:space="preserve"> </w:t>
      </w:r>
      <w:r>
        <w:rPr>
          <w:rFonts w:ascii="Verdana" w:hAnsi="Verdana"/>
          <w:color w:val="1A1A1A"/>
        </w:rPr>
        <w:t>stock</w:t>
      </w:r>
      <w:r>
        <w:rPr>
          <w:rFonts w:ascii="Verdana" w:hAnsi="Verdana"/>
          <w:color w:val="1A1A1A"/>
          <w:spacing w:val="-4"/>
        </w:rPr>
        <w:t xml:space="preserve"> </w:t>
      </w:r>
      <w:r>
        <w:rPr>
          <w:rFonts w:ascii="Verdana" w:hAnsi="Verdana"/>
          <w:color w:val="1A1A1A"/>
        </w:rPr>
        <w:t>markets</w:t>
      </w:r>
      <w:r>
        <w:rPr>
          <w:rFonts w:ascii="Verdana" w:hAnsi="Verdana"/>
          <w:color w:val="1A1A1A"/>
          <w:spacing w:val="-3"/>
        </w:rPr>
        <w:t xml:space="preserve"> </w:t>
      </w:r>
      <w:r>
        <w:rPr>
          <w:rFonts w:ascii="Verdana" w:hAnsi="Verdana"/>
          <w:color w:val="1A1A1A"/>
        </w:rPr>
        <w:t>followed</w:t>
      </w:r>
      <w:r>
        <w:rPr>
          <w:rFonts w:ascii="Verdana" w:hAnsi="Verdana"/>
          <w:color w:val="1A1A1A"/>
          <w:spacing w:val="-6"/>
        </w:rPr>
        <w:t xml:space="preserve"> </w:t>
      </w:r>
      <w:r>
        <w:rPr>
          <w:rFonts w:ascii="Verdana" w:hAnsi="Verdana"/>
          <w:color w:val="1A1A1A"/>
        </w:rPr>
        <w:t>by</w:t>
      </w:r>
      <w:r>
        <w:rPr>
          <w:rFonts w:ascii="Verdana" w:hAnsi="Verdana"/>
          <w:color w:val="1A1A1A"/>
          <w:spacing w:val="-4"/>
        </w:rPr>
        <w:t xml:space="preserve"> </w:t>
      </w:r>
      <w:r>
        <w:rPr>
          <w:rFonts w:ascii="Verdana" w:hAnsi="Verdana"/>
          <w:color w:val="1A1A1A"/>
        </w:rPr>
        <w:t>mutual</w:t>
      </w:r>
      <w:r>
        <w:rPr>
          <w:rFonts w:ascii="Verdana" w:hAnsi="Verdana"/>
          <w:color w:val="1A1A1A"/>
          <w:spacing w:val="-4"/>
        </w:rPr>
        <w:t xml:space="preserve"> </w:t>
      </w:r>
      <w:r>
        <w:rPr>
          <w:rFonts w:ascii="Verdana" w:hAnsi="Verdana"/>
          <w:color w:val="1A1A1A"/>
        </w:rPr>
        <w:t>funds</w:t>
      </w:r>
      <w:r>
        <w:rPr>
          <w:rFonts w:ascii="Verdana" w:hAnsi="Verdana"/>
          <w:color w:val="1A1A1A"/>
          <w:spacing w:val="-1"/>
        </w:rPr>
        <w:t xml:space="preserve"> </w:t>
      </w:r>
      <w:r>
        <w:rPr>
          <w:rFonts w:ascii="Verdana" w:hAnsi="Verdana"/>
          <w:color w:val="1A1A1A"/>
        </w:rPr>
        <w:t>etc…</w:t>
      </w:r>
    </w:p>
    <w:p w14:paraId="6D4DD8E5">
      <w:pPr>
        <w:pStyle w:val="6"/>
        <w:spacing w:after="0" w:line="264" w:lineRule="auto"/>
        <w:rPr>
          <w:rFonts w:ascii="Verdana" w:hAnsi="Verdana"/>
        </w:rPr>
        <w:sectPr>
          <w:pgSz w:w="12240" w:h="15840"/>
          <w:pgMar w:top="1820" w:right="720" w:bottom="980" w:left="360" w:header="0" w:footer="782" w:gutter="0"/>
          <w:cols w:space="720" w:num="1"/>
        </w:sectPr>
      </w:pPr>
    </w:p>
    <w:p w14:paraId="09F3BCDB">
      <w:pPr>
        <w:pStyle w:val="6"/>
        <w:spacing w:before="166" w:after="1"/>
        <w:rPr>
          <w:rFonts w:ascii="Verdana"/>
          <w:sz w:val="20"/>
        </w:rPr>
      </w:pPr>
    </w:p>
    <w:p w14:paraId="48543492">
      <w:pPr>
        <w:spacing w:line="240" w:lineRule="auto"/>
        <w:ind w:left="1440" w:right="0" w:firstLine="0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3596005" cy="355981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10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4A2">
      <w:pPr>
        <w:pStyle w:val="6"/>
        <w:rPr>
          <w:rFonts w:ascii="Verdana"/>
          <w:sz w:val="40"/>
        </w:rPr>
      </w:pPr>
    </w:p>
    <w:p w14:paraId="1D470BC6">
      <w:pPr>
        <w:pStyle w:val="6"/>
        <w:spacing w:before="17"/>
        <w:rPr>
          <w:rFonts w:ascii="Verdana"/>
          <w:sz w:val="40"/>
        </w:rPr>
      </w:pPr>
    </w:p>
    <w:p w14:paraId="1324BF14">
      <w:pPr>
        <w:pStyle w:val="2"/>
        <w:spacing w:before="1"/>
      </w:pPr>
      <w:r>
        <w:rPr>
          <w:color w:val="585858"/>
          <w:spacing w:val="-2"/>
          <w:w w:val="110"/>
        </w:rPr>
        <w:t>Conclusion:</w:t>
      </w:r>
    </w:p>
    <w:p w14:paraId="5BFA11B2">
      <w:pPr>
        <w:pStyle w:val="6"/>
        <w:spacing w:before="258" w:line="264" w:lineRule="auto"/>
        <w:ind w:left="1441" w:right="1074"/>
      </w:pPr>
      <w:r>
        <w:rPr>
          <w:color w:val="585858"/>
        </w:rPr>
        <w:t>The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stock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market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witnessed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surge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participation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among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youth,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driven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 xml:space="preserve">various </w:t>
      </w:r>
      <w:r>
        <w:rPr>
          <w:color w:val="585858"/>
          <w:w w:val="110"/>
        </w:rPr>
        <w:t>factors</w:t>
      </w:r>
      <w:r>
        <w:rPr>
          <w:color w:val="585858"/>
          <w:spacing w:val="-4"/>
          <w:w w:val="110"/>
        </w:rPr>
        <w:t xml:space="preserve"> </w:t>
      </w:r>
      <w:r>
        <w:rPr>
          <w:color w:val="585858"/>
          <w:w w:val="110"/>
        </w:rPr>
        <w:t>such</w:t>
      </w:r>
      <w:r>
        <w:rPr>
          <w:color w:val="585858"/>
          <w:spacing w:val="-9"/>
          <w:w w:val="110"/>
        </w:rPr>
        <w:t xml:space="preserve"> </w:t>
      </w:r>
      <w:r>
        <w:rPr>
          <w:color w:val="585858"/>
          <w:w w:val="110"/>
        </w:rPr>
        <w:t>as</w:t>
      </w:r>
      <w:r>
        <w:rPr>
          <w:color w:val="585858"/>
          <w:spacing w:val="-11"/>
          <w:w w:val="110"/>
        </w:rPr>
        <w:t xml:space="preserve"> </w:t>
      </w:r>
      <w:r>
        <w:rPr>
          <w:color w:val="585858"/>
          <w:w w:val="110"/>
        </w:rPr>
        <w:t>technological</w:t>
      </w:r>
      <w:r>
        <w:rPr>
          <w:color w:val="585858"/>
          <w:spacing w:val="-11"/>
          <w:w w:val="110"/>
        </w:rPr>
        <w:t xml:space="preserve"> </w:t>
      </w:r>
      <w:r>
        <w:rPr>
          <w:color w:val="585858"/>
          <w:w w:val="110"/>
        </w:rPr>
        <w:t>advancements,</w:t>
      </w:r>
      <w:r>
        <w:rPr>
          <w:color w:val="585858"/>
          <w:spacing w:val="-6"/>
          <w:w w:val="110"/>
        </w:rPr>
        <w:t xml:space="preserve"> </w:t>
      </w:r>
      <w:r>
        <w:rPr>
          <w:color w:val="585858"/>
          <w:w w:val="110"/>
        </w:rPr>
        <w:t>increased</w:t>
      </w:r>
      <w:r>
        <w:rPr>
          <w:color w:val="585858"/>
          <w:spacing w:val="-6"/>
          <w:w w:val="110"/>
        </w:rPr>
        <w:t xml:space="preserve"> </w:t>
      </w:r>
      <w:r>
        <w:rPr>
          <w:color w:val="585858"/>
          <w:w w:val="110"/>
        </w:rPr>
        <w:t>access</w:t>
      </w:r>
      <w:r>
        <w:rPr>
          <w:color w:val="585858"/>
          <w:spacing w:val="-11"/>
          <w:w w:val="110"/>
        </w:rPr>
        <w:t xml:space="preserve"> </w:t>
      </w:r>
      <w:r>
        <w:rPr>
          <w:color w:val="585858"/>
          <w:w w:val="110"/>
        </w:rPr>
        <w:t>to</w:t>
      </w:r>
      <w:r>
        <w:rPr>
          <w:color w:val="585858"/>
          <w:spacing w:val="-1"/>
          <w:w w:val="110"/>
        </w:rPr>
        <w:t xml:space="preserve"> </w:t>
      </w:r>
      <w:r>
        <w:rPr>
          <w:color w:val="585858"/>
          <w:w w:val="110"/>
        </w:rPr>
        <w:t>educational</w:t>
      </w:r>
      <w:r>
        <w:rPr>
          <w:color w:val="585858"/>
          <w:spacing w:val="-11"/>
          <w:w w:val="110"/>
        </w:rPr>
        <w:t xml:space="preserve"> </w:t>
      </w:r>
      <w:r>
        <w:rPr>
          <w:color w:val="585858"/>
          <w:w w:val="110"/>
        </w:rPr>
        <w:t xml:space="preserve">resources, </w:t>
      </w:r>
      <w:r>
        <w:rPr>
          <w:color w:val="585858"/>
        </w:rPr>
        <w:t>and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allure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quick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financial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gains.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While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trend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presents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opportunities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wealth creation,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it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underscores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importance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financial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literacy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responsible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investing practices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among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young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investors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mitigate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risks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ensure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long-term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financial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security.</w:t>
      </w:r>
    </w:p>
    <w:p w14:paraId="68EA2739">
      <w:pPr>
        <w:pStyle w:val="6"/>
        <w:spacing w:after="0" w:line="264" w:lineRule="auto"/>
        <w:sectPr>
          <w:pgSz w:w="12240" w:h="15840"/>
          <w:pgMar w:top="1820" w:right="720" w:bottom="980" w:left="360" w:header="0" w:footer="782" w:gutter="0"/>
          <w:cols w:space="720" w:num="1"/>
        </w:sectPr>
      </w:pPr>
    </w:p>
    <w:p w14:paraId="1C65B917">
      <w:pPr>
        <w:pStyle w:val="6"/>
        <w:spacing w:before="71"/>
        <w:ind w:left="1441"/>
      </w:pPr>
      <w:r>
        <w:rPr>
          <w:color w:val="585858"/>
          <w:w w:val="110"/>
        </w:rPr>
        <w:t>Candlestick</w:t>
      </w:r>
      <w:r>
        <w:rPr>
          <w:color w:val="585858"/>
          <w:spacing w:val="41"/>
          <w:w w:val="110"/>
        </w:rPr>
        <w:t xml:space="preserve"> </w:t>
      </w:r>
      <w:r>
        <w:rPr>
          <w:color w:val="585858"/>
          <w:spacing w:val="-2"/>
          <w:w w:val="110"/>
        </w:rPr>
        <w:t>chart:-</w:t>
      </w:r>
    </w:p>
    <w:p w14:paraId="41214BBB">
      <w:pPr>
        <w:pStyle w:val="6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144780</wp:posOffset>
            </wp:positionV>
            <wp:extent cx="4876800" cy="36004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60" w:right="720" w:bottom="980" w:left="360" w:header="0" w:footer="7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01540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9422130</wp:posOffset>
              </wp:positionV>
              <wp:extent cx="507365" cy="1962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73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61BD9">
                          <w:pPr>
                            <w:pStyle w:val="6"/>
                            <w:spacing w:before="17"/>
                            <w:ind w:left="20"/>
                          </w:pPr>
                          <w:r>
                            <w:rPr>
                              <w:color w:val="585858"/>
                              <w:w w:val="105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86.45pt;margin-top:741.9pt;height:15.45pt;width:39.95pt;mso-position-horizontal-relative:page;mso-position-vertical-relative:page;z-index:-251656192;mso-width-relative:page;mso-height-relative:page;" filled="f" stroked="f" coordsize="21600,21600" o:gfxdata="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4dRZR2wAAAA4BAAAPAAAAAAAAAAEAIAAAACIAAABkcnMvZG93bnJldi54bWxQSwECFAAUAAAA&#10;CACHTuJALHUx6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661BD9">
                    <w:pPr>
                      <w:pStyle w:val="6"/>
                      <w:spacing w:before="17"/>
                      <w:ind w:left="20"/>
                    </w:pPr>
                    <w:r>
                      <w:rPr>
                        <w:color w:val="585858"/>
                        <w:w w:val="105"/>
                      </w:rPr>
                      <w:t>PAGE</w:t>
                    </w:r>
                    <w:r>
                      <w:rPr>
                        <w:color w:val="585858"/>
                        <w:spacing w:val="12"/>
                        <w:w w:val="105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585858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585858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1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585858"/>
        <w:spacing w:val="0"/>
        <w:w w:val="10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1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585858"/>
        <w:spacing w:val="0"/>
        <w:w w:val="10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101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1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45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29"/>
      <w:ind w:left="361" w:right="10"/>
      <w:jc w:val="center"/>
    </w:pPr>
    <w:rPr>
      <w:rFonts w:ascii="Calibri" w:hAnsi="Calibri" w:eastAsia="Calibri" w:cs="Calibri"/>
      <w:sz w:val="60"/>
      <w:szCs w:val="6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2161" w:right="111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20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638</Words>
  <Characters>3880</Characters>
  <TotalTime>1</TotalTime>
  <ScaleCrop>false</ScaleCrop>
  <LinksUpToDate>false</LinksUpToDate>
  <CharactersWithSpaces>4452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2026-05-02T16:00:00Z</dcterms:created>
  <dc:creator>Ishaa Nangare</dc:creator>
  <cp:lastModifiedBy>Ishaa Nangare</cp:lastModifiedBy>
  <dcterms:modified xsi:type="dcterms:W3CDTF">2026-05-02T16:02:18Z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2026-05-02T00:00:00Z</vt:filetime>
  </property>
  <property fmtid="{D5CDD505-2E9C-101B-9397-08002B2CF9AE}" pid="5" name="KSOTemplateDocerSaveRecord">
    <vt:lpwstr>eyJoZGlkIjoiMzcyODMxYTE0ZTc0ZGU3Y2QwODc3MzYzN2Q1YmNiM2EiLCJ1c2VySWQiOiI1Njc1NzgyMzk2ODQifQ==</vt:lpwstr>
  </property>
  <property fmtid="{D5CDD505-2E9C-101B-9397-08002B2CF9AE}" pid="6" name="KSOProductBuildVer">
    <vt:lpwstr>1033-12.1.0.25242</vt:lpwstr>
  </property>
  <property fmtid="{D5CDD505-2E9C-101B-9397-08002B2CF9AE}" pid="7" name="ICV">
    <vt:lpwstr>576F0366665049C98FA5F9EAC9AE97EB_12</vt:lpwstr>
  </property>
</Properties>
</file>