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u w:val="single"/>
        </w:rPr>
      </w:pPr>
      <w:bookmarkStart w:colFirst="0" w:colLast="0" w:name="_xe2rdviddl5w" w:id="0"/>
      <w:bookmarkEnd w:id="0"/>
      <w:r w:rsidDel="00000000" w:rsidR="00000000" w:rsidRPr="00000000">
        <w:rPr>
          <w:u w:val="single"/>
          <w:rtl w:val="0"/>
        </w:rPr>
        <w:t xml:space="preserve">Deployment &amp; Optimization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Assume ASB wants this document automation system (OCR + template generation) to run on-site, where internet access and computing resources are limited (e.g., only a Jetson device or a small local server).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would you optimize and deploy your models (OCR + LLM or GenAI)?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Which frameworks, compression, or optimization techniques would you use to make it cost- and resource-efficient?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This document outlines the steps we can take to optimize and deploy our models, making them cost and resource efficient.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8res12kmn4y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lwzf89k8vbo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Hardware deployment strategies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Jetson server (Jetson AGX Orin (16GB+))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OCR:</w:t>
      </w:r>
      <w:r w:rsidDel="00000000" w:rsidR="00000000" w:rsidRPr="00000000">
        <w:rPr>
          <w:rtl w:val="0"/>
        </w:rPr>
        <w:t xml:space="preserve"> PaddleOCR with TensorRT backend, which reduces latency by ~40-70%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INT-8/INT-4 Quantization and paged KV caching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NVMe SSD mandatory for model storage and faster access</w:t>
      </w:r>
    </w:p>
    <w:p w:rsidR="00000000" w:rsidDel="00000000" w:rsidP="00000000" w:rsidRDefault="00000000" w:rsidRPr="00000000" w14:paraId="0000000F">
      <w:pPr>
        <w:spacing w:after="240" w:lineRule="auto"/>
        <w:ind w:left="0" w:firstLine="0"/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Small x86 server (CPU only, (16-32GB RAM))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OCR</w:t>
      </w:r>
      <w:r w:rsidDel="00000000" w:rsidR="00000000" w:rsidRPr="00000000">
        <w:rPr>
          <w:rtl w:val="0"/>
        </w:rPr>
        <w:t xml:space="preserve">: PaddleOCR with ONNX runtime with INT8 quantization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: llama.cpp with GGUF Q5 or Q4 quantization, (4-8B models)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 GPU</w:t>
      </w:r>
      <w:r w:rsidDel="00000000" w:rsidR="00000000" w:rsidRPr="00000000">
        <w:rPr>
          <w:rtl w:val="0"/>
        </w:rPr>
        <w:t xml:space="preserve">: Slightly higher latency, but gains deployment simplicity and cost savings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urzenlzefsc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OCR optimization strategies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PaddleOCR with backend selection (TensorRT &gt; ONNX Run time &gt; OpenVINO)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Acceleration: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TensorRT: ~40-70% reduction on Jetson/GPU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ONNX runtime INT8: CPU acceleration on x86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OpenVINO: Intel CPU optimization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Batching</w:t>
      </w:r>
      <w:r w:rsidDel="00000000" w:rsidR="00000000" w:rsidRPr="00000000">
        <w:rPr>
          <w:rtl w:val="0"/>
        </w:rPr>
        <w:t xml:space="preserve">: Process multiple pages together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Cache OCR results by file hash to avoid reprocessing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3d9ytn8ry5vw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LLM Optimization strategies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Quantization methods: 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Jetson: Llama 3.2 8B INT4, Phi-3.5-mini 3.8B, Mistral 7B INT4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CPU: Llama 3.2 8B Q5_K_M, Mistral 7B Q4_K_M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Memory Optimization: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Paged KV cache (TensorRT-LLM) to manage long contexts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Inference Optimization: 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Llama.cpp: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--threads</w:t>
      </w:r>
      <w:r w:rsidDel="00000000" w:rsidR="00000000" w:rsidRPr="00000000">
        <w:rPr>
          <w:rtl w:val="0"/>
        </w:rPr>
        <w:t xml:space="preserve"> flag for CPU parallelism 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Reduce inference calls: 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Use rules/ regex first; LLM only for handwritten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