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Method Statement for Blockwork &amp; Plastering</w:t>
      </w:r>
    </w:p>
    <w:p/>
    <w:p>
      <w:pPr>
        <w:pStyle w:val="Heading2"/>
      </w:pPr>
      <w:r>
        <w:t>Scope</w:t>
      </w:r>
    </w:p>
    <w:p>
      <w:r>
        <w:t>Construction of internal and external block walls using hollow concrete blocks as per BOQ quantities. Application of internal plaster (15 mm thick) and external plaster (20 mm thick) on respective surfaces. Finishing internal walls with two coats of emulsion paint. Total quantities to be confirmed from BOQ extract for each activity.</w:t>
      </w:r>
    </w:p>
    <w:p/>
    <w:p>
      <w:pPr>
        <w:pStyle w:val="Heading2"/>
      </w:pPr>
      <w:r>
        <w:t>References</w:t>
      </w:r>
    </w:p>
    <w:p>
      <w:r>
        <w:t>Project Drawings: Architectural Drawing Nos. A-201, A-305; Technical Specifications: Section 04200 (Masonry), Section 09200 (Plastering &amp; Finishes); Standards: QCS, BS EN 1996, ASTM C90 for blocks, BS 1199 for plaster, BS 481 for painting; BOQ Extract for detailed quantities.</w:t>
      </w:r>
    </w:p>
    <w:p/>
    <w:p>
      <w:pPr>
        <w:pStyle w:val="Heading2"/>
      </w:pPr>
      <w:r>
        <w:t>Materials</w:t>
      </w:r>
    </w:p>
    <w:p>
      <w:r>
        <w:t>Hollow concrete blocks (200 mm thick) conforming to ASTM C90; Cement-sand plaster mix (1:4 ratio) for internal and external surfaces; Emulsion paint (white, two coats) as per BS 481; Water, curing agents, and bonding agents as per specifications.</w:t>
      </w:r>
    </w:p>
    <w:p/>
    <w:p>
      <w:pPr>
        <w:pStyle w:val="Heading2"/>
      </w:pPr>
      <w:r>
        <w:t>Work Procedure</w:t>
      </w:r>
    </w:p>
    <w:p>
      <w:pPr>
        <w:pStyle w:val="ListBullet"/>
      </w:pPr>
      <w:r>
        <w:t>1. Site Preparation and Setting Out: Clear the site, establish grid lines and levels as per architectural drawings. Verify all dimensions and levels before commencing work. Ensure safety barriers and signage are in place.</w:t>
      </w:r>
    </w:p>
    <w:p>
      <w:pPr>
        <w:pStyle w:val="ListBullet"/>
      </w:pPr>
      <w:r>
        <w:t>2. Blockwork Construction:</w:t>
      </w:r>
    </w:p>
    <w:p>
      <w:pPr>
        <w:pStyle w:val="ListBullet"/>
      </w:pPr>
      <w:r>
        <w:t>- Mix mortar using cement and sand in the ratio specified in Section 04200.</w:t>
      </w:r>
    </w:p>
    <w:p>
      <w:pPr>
        <w:pStyle w:val="ListBullet"/>
      </w:pPr>
      <w:r>
        <w:t>- Lay blocks in running bond pattern, ensuring alignment and plumbness using a spirit level and plumb line.</w:t>
      </w:r>
    </w:p>
    <w:p>
      <w:pPr>
        <w:pStyle w:val="ListBullet"/>
      </w:pPr>
      <w:r>
        <w:t>- Maintain joint thickness of 10-15 mm, ensuring uniformity.</w:t>
      </w:r>
    </w:p>
    <w:p>
      <w:pPr>
        <w:pStyle w:val="ListBullet"/>
      </w:pPr>
      <w:r>
        <w:t>- Use mortar joints to fill all gaps, and clean excess mortar.</w:t>
      </w:r>
    </w:p>
    <w:p>
      <w:pPr>
        <w:pStyle w:val="ListBullet"/>
      </w:pPr>
      <w:r>
        <w:t>- Install reinforcement or lintels as per structural drawings.</w:t>
      </w:r>
    </w:p>
    <w:p>
      <w:pPr>
        <w:pStyle w:val="ListBullet"/>
      </w:pPr>
      <w:r>
        <w:t>- Check for tolerances: wall deviations ±5 mm, plumbness ±3 mm.</w:t>
      </w:r>
    </w:p>
    <w:p>
      <w:pPr>
        <w:pStyle w:val="ListBullet"/>
      </w:pPr>
      <w:r>
        <w:t>- Cure blocks by keeping moist for at least 7 days.</w:t>
      </w:r>
    </w:p>
    <w:p>
      <w:pPr>
        <w:pStyle w:val="ListBullet"/>
      </w:pPr>
      <w:r>
        <w:t>3. Plastering:</w:t>
      </w:r>
    </w:p>
    <w:p>
      <w:pPr>
        <w:pStyle w:val="ListBullet"/>
      </w:pPr>
      <w:r>
        <w:t>- Prepare surfaces by cleaning and dampening.</w:t>
      </w:r>
    </w:p>
    <w:p>
      <w:pPr>
        <w:pStyle w:val="ListBullet"/>
      </w:pPr>
      <w:r>
        <w:t>- Apply a scratch coat (if required) to achieve a key for the finish coat.</w:t>
      </w:r>
    </w:p>
    <w:p>
      <w:pPr>
        <w:pStyle w:val="ListBullet"/>
      </w:pPr>
      <w:r>
        <w:t>- Apply a 15 mm thick internal plaster and 20 mm external plaster in layers, ensuring proper bonding.</w:t>
      </w:r>
    </w:p>
    <w:p>
      <w:pPr>
        <w:pStyle w:val="ListBullet"/>
      </w:pPr>
      <w:r>
        <w:t>- Use trowels and floats to achieve a smooth surface.</w:t>
      </w:r>
    </w:p>
    <w:p>
      <w:pPr>
        <w:pStyle w:val="ListBullet"/>
      </w:pPr>
      <w:r>
        <w:t>- Cure plastered surfaces by misting for at least 7 days.</w:t>
      </w:r>
    </w:p>
    <w:p>
      <w:pPr>
        <w:pStyle w:val="ListBullet"/>
      </w:pPr>
      <w:r>
        <w:t>- Check thickness and surface evenness, tolerances ±2 mm.</w:t>
      </w:r>
    </w:p>
    <w:p>
      <w:pPr>
        <w:pStyle w:val="ListBullet"/>
      </w:pPr>
      <w:r>
        <w:t>4. Painting:</w:t>
      </w:r>
    </w:p>
    <w:p>
      <w:pPr>
        <w:pStyle w:val="ListBullet"/>
      </w:pPr>
      <w:r>
        <w:t>- Prepare the plastered surface by cleaning and sanding.</w:t>
      </w:r>
    </w:p>
    <w:p>
      <w:pPr>
        <w:pStyle w:val="ListBullet"/>
      </w:pPr>
      <w:r>
        <w:t>- Apply a primer suitable for plaster surfaces.</w:t>
      </w:r>
    </w:p>
    <w:p>
      <w:pPr>
        <w:pStyle w:val="ListBullet"/>
      </w:pPr>
      <w:r>
        <w:t>- Apply two coats of emulsion paint, allowing adequate drying time between coats.</w:t>
      </w:r>
    </w:p>
    <w:p>
      <w:pPr>
        <w:pStyle w:val="ListBullet"/>
      </w:pPr>
      <w:r>
        <w:t>- Check for uniform coverage and color consistency.</w:t>
      </w:r>
    </w:p>
    <w:p>
      <w:pPr>
        <w:pStyle w:val="ListBullet"/>
      </w:pPr>
      <w:r>
        <w:t>5. Safety and Environmental Measures:</w:t>
      </w:r>
    </w:p>
    <w:p>
      <w:pPr>
        <w:pStyle w:val="ListBullet"/>
      </w:pPr>
      <w:r>
        <w:t>- Use PPE including helmets, gloves, masks, and safety boots.</w:t>
      </w:r>
    </w:p>
    <w:p>
      <w:pPr>
        <w:pStyle w:val="ListBullet"/>
      </w:pPr>
      <w:r>
        <w:t>- Ensure scaffolding is erected and inspected as per safety standards.</w:t>
      </w:r>
    </w:p>
    <w:p>
      <w:pPr>
        <w:pStyle w:val="ListBullet"/>
      </w:pPr>
      <w:r>
        <w:t>- Dispose of waste materials in designated areas.</w:t>
      </w:r>
    </w:p>
    <w:p>
      <w:pPr>
        <w:pStyle w:val="ListBullet"/>
      </w:pPr>
      <w:r>
        <w:t>- Minimize dust and noise pollution.</w:t>
      </w:r>
    </w:p>
    <w:p>
      <w:pPr>
        <w:pStyle w:val="ListBullet"/>
      </w:pPr>
      <w:r>
        <w:t>6. Quality Control:</w:t>
      </w:r>
    </w:p>
    <w:p>
      <w:pPr>
        <w:pStyle w:val="ListBullet"/>
      </w:pPr>
      <w:r>
        <w:t>- Conduct regular inspections for alignment, level, and surface finish.</w:t>
      </w:r>
    </w:p>
    <w:p>
      <w:pPr>
        <w:pStyle w:val="ListBullet"/>
      </w:pPr>
      <w:r>
        <w:t>- Record and rectify deviations from specified tolerances.</w:t>
      </w:r>
    </w:p>
    <w:p>
      <w:pPr>
        <w:pStyle w:val="ListBullet"/>
      </w:pPr>
      <w:r>
        <w:t>- Maintain documentation of curing and testing as required.</w:t>
      </w:r>
    </w:p>
    <w:p/>
    <w:p>
      <w:pPr>
        <w:pStyle w:val="Heading2"/>
      </w:pPr>
      <w:r>
        <w:t>General Notes</w:t>
      </w:r>
    </w:p>
    <w:p>
      <w:r>
        <w:t>All work shall comply with relevant local standards, safety regulations, and environmental considerations. Coordinate with other trades to avoid conflicts and ensure smooth progress.</w:t>
      </w:r>
    </w:p>
    <w:p/>
    <w:p>
      <w:pPr>
        <w:pStyle w:val="Heading2"/>
      </w:pPr>
      <w:r>
        <w:t>Follow-up Instructions</w:t>
      </w:r>
    </w:p>
    <w:p>
      <w:r>
        <w:t>Ensure all activities are carried out as per the specified standards and drawings. Conduct regular site inspections and quality checks. Document all processes and deviations for project records.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