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52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TRADER PERFORMANCE vs MARKET SENTIMENT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Hyperliquid DEX  |  Fear/Greed Index  |  2024  |  Primetrade.ai Intern Assignment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 WRITE-UP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Round 0  |  1-Page Summary</w:t>
            </w:r>
          </w:p>
        </w:tc>
      </w:tr>
    </w:tbl>
    <w:p>
      <w:pPr>
        <w:spacing w:after="10" w:before="1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Methodology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80"/>
        <w:jc w:val="left"/>
      </w:pPr>
      <w:r>
        <w:rPr>
          <w:rFonts w:ascii="Arial" w:cs="Arial" w:eastAsia="Arial" w:hAnsi="Arial"/>
          <w:sz w:val="19"/>
          <w:szCs w:val="19"/>
        </w:rPr>
        <w:t xml:space="preserve">Two datasets were merged at the daily level: a 365-day Bitcoin Fear/Greed classification and ~95,900 Hyperliquid trade records across 120 unique accounts and 5 symbols (BTC, ETH, SOL, ARB, DOGE). After standardising column names and parsing timestamps, trades were left-joined to sentiment on the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date</w:t>
      </w:r>
      <w:r>
        <w:rPr>
          <w:rFonts w:ascii="Arial" w:cs="Arial" w:eastAsia="Arial" w:hAnsi="Arial"/>
          <w:sz w:val="19"/>
          <w:szCs w:val="19"/>
        </w:rPr>
        <w:t xml:space="preserve"> key (zero unmatched rows). Trade-level features engineered: win flag, long/short indicator, day-of-week, leverage tier (high vs low), activity tier (frequent vs infrequent), and net profitability label (winner vs loser). A Random Forest classifier was additionally trained to predict next-day profitability using sentiment + behavioural features.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Performance: Fear vs Greed Days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Fear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Greed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Mean PnL / Trade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$-45.67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$-5.69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8× gap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Win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46.8%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51.6%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+4.7 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Avg Leverage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14.1×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13.2×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+0.9×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Long 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45.1%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54.9%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+9.8 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Trades/Day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290 avg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231 avg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+25%</w:t>
            </w:r>
          </w:p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Key Insights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Insight 1 — </w:t>
      </w:r>
      <w:r>
        <w:rPr>
          <w:rFonts w:ascii="Arial" w:cs="Arial" w:eastAsia="Arial" w:hAnsi="Arial"/>
          <w:sz w:val="19"/>
          <w:szCs w:val="19"/>
        </w:rPr>
        <w:t xml:space="preserve"> Sentiment regime is the single strongest performance driver. Mean PnL is 8× worse on Fear days (−$45.67) than Greed days (−$5.69), and the win rate drops 4.7 percentage points. Total losses on Fear days were −$2.6M vs −$222k on Greed days despite similar trade volumes.</w:t>
      </w:r>
    </w:p>
    <w:p>
      <w:pPr>
        <w:spacing w:after="10" w:before="1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Insight 2 — </w:t>
      </w:r>
      <w:r>
        <w:rPr>
          <w:rFonts w:ascii="Arial" w:cs="Arial" w:eastAsia="Arial" w:hAnsi="Arial"/>
          <w:sz w:val="19"/>
          <w:szCs w:val="19"/>
        </w:rPr>
        <w:t xml:space="preserve"> High leverage catastrophically amplifies Fear-day losses. High-leverage traders (avg 25×) lose $78/trade during Fear vs $28/trade during Greed. Low-leverage traders (avg 5×) are near breakeven during Fear (−$4.83) and profitable during Greed (+$8.92). Leverage is the primary loss amplifier.</w:t>
      </w:r>
    </w:p>
    <w:p>
      <w:pPr>
        <w:spacing w:after="10" w:before="1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Insight 3 — </w:t>
      </w:r>
      <w:r>
        <w:rPr>
          <w:rFonts w:ascii="Arial" w:cs="Arial" w:eastAsia="Arial" w:hAnsi="Arial"/>
          <w:sz w:val="19"/>
          <w:szCs w:val="19"/>
        </w:rPr>
        <w:t xml:space="preserve"> Frequent traders overtrade during Fear, compounding losses. Trade volume is 25% higher on Fear days, yet win rates fall by 4.7 pp. Frequent traders average −$51/trade during Fear vs only −$7/trade for infrequent traders. Consistent Winners trade at lower leverage (4×), lower size, and higher conviction — regardless of sentiment.</w:t>
      </w:r>
    </w:p>
    <w:p>
      <w:pPr>
        <w:spacing w:after="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Trader Segment Summary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700"/>
        <w:gridCol w:w="1700"/>
        <w:gridCol w:w="1700"/>
        <w:gridCol w:w="1700"/>
      </w:tblGrid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Fear PnL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Greed PnL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Win Rate (Fear)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Avg Leverage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High-Leverage Losers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$-78 / trade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$-28 / trade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25×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Consistent Winners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$-0.43 / trade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+$11.18 / trade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4×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Frequent Traders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$-51 / trade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$-8 / trade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46.2%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11.5×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Low-Leverage Traders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$-4.83 / trade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+$8.92 / trade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49.2%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5×</w:t>
            </w:r>
          </w:p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Strategy Recommendations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Segment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Leverage Cap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Cap leverage at 5× on Fear days; restore normal limits on Greed 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All traders (esp. High-Lev Losers)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Trade Throttle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Limit to 3 new positions/day during Fear + enforce 4-hour minimum hold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Frequent / Active traders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Directional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 45–55% neutral positioning during Fear; allow long bias during Greed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All traders</w:t>
            </w:r>
          </w:p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Bonus — Predictive Model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Random Forest classifier trained on daily per-account behavioural features (trade count, avg size, avg leverage, long ratio, win rate, sentiment) achieved 80% test accuracy in predicting next-day profitability. Sentiment was ranked the 2nd most important feature out of 6, confirming that it carries predictive signal beyond simple correlation. This supports integrating real-time Fear/Greed data into a live risk management system.</w:t>
            </w:r>
          </w:p>
        </w:tc>
      </w:tr>
    </w:tbl>
    <w:p>
      <w:pPr>
        <w:spacing w:after="0" w:before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2E75B6" w:sz="4" w:space="1"/>
        </w:pBd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Submitted for Primetrade.ai Data Science / Analytics Intern — Round 0  |  Full analysis: analysis_primetrade.ipynb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2026-04-15T12:27:37.366Z</dcterms:created>
  <dcterms:modified xsi:type="dcterms:W3CDTF">2026-04-15T12:27:37.367Z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