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100" w:before="200"/>
        <w:jc w:val="center"/>
      </w:pPr>
      <w:r>
        <w:rPr>
          <w:rFonts w:ascii="Arial" w:cs="Arial" w:eastAsia="Arial" w:hAnsi="Arial"/>
          <w:b/>
          <w:bCs/>
          <w:color w:val="1A237E"/>
          <w:sz w:val="72"/>
          <w:szCs w:val="72"/>
        </w:rPr>
        <w:t xml:space="preserve">SETU SHG OS</w:t>
      </w:r>
    </w:p>
    <w:p>
      <w:pPr>
        <w:spacing w:after="200" w:before="100"/>
        <w:jc w:val="center"/>
      </w:pPr>
      <w:r>
        <w:rPr>
          <w:rFonts w:ascii="Arial" w:cs="Arial" w:eastAsia="Arial" w:hAnsi="Arial"/>
          <w:i/>
          <w:iCs/>
          <w:color w:val="283593"/>
          <w:sz w:val="36"/>
          <w:szCs w:val="36"/>
        </w:rPr>
        <w:t xml:space="preserve">India's Digital Operating System for Self-Help Groups</w:t>
      </w:r>
    </w:p>
    <w:p>
      <w:pPr>
        <w:shd w:fill="D4AC0D" w:val="clear"/>
        <w:spacing w:after="200" w:before="200"/>
        <w:jc w:val="center"/>
      </w:pPr>
      <w:r>
        <w:rPr>
          <w:rFonts w:ascii="Arial" w:cs="Arial" w:eastAsia="Arial" w:hAnsi="Arial"/>
          <w:b/>
          <w:bCs/>
          <w:color w:val="FFFFFF"/>
          <w:sz w:val="40"/>
          <w:szCs w:val="40"/>
        </w:rPr>
        <w:t xml:space="preserve">BUSINESS REQUIREMENTS DOCUMENT (BRD)</w:t>
      </w:r>
    </w:p>
    <w:p>
      <w:pPr>
        <w:spacing w:after="0" w:before="100"/>
      </w:pPr>
      <w:r>
        <w:t xml:space="preserve"/>
      </w:r>
    </w:p>
    <w:p>
      <w:pPr>
        <w:shd w:fill="D5F5E3" w:val="clear"/>
        <w:spacing w:after="150" w:before="150"/>
        <w:ind w:left="300" w:right="300"/>
      </w:pPr>
      <w:r>
        <w:rPr>
          <w:rFonts w:ascii="Arial" w:cs="Arial" w:eastAsia="Arial" w:hAnsi="Arial"/>
          <w:b/>
          <w:bCs/>
          <w:color w:val="1E8449"/>
          <w:sz w:val="24"/>
          <w:szCs w:val="24"/>
        </w:rPr>
        <w:t xml:space="preserve">"Setu SHG OS is building the digital infrastructure layer for India's 90+ million SHG women, enabling access to finance, markets, skills, and government services through one unified platform."</w:t>
      </w:r>
    </w:p>
    <w:p>
      <w:pPr>
        <w:spacing w:after="0" w:before="200"/>
      </w:pPr>
      <w:r>
        <w:t xml:space="preserve"/>
      </w:r>
    </w:p>
    <w:p>
      <w:pPr>
        <w:jc w:val="center"/>
      </w:pPr>
      <w:r>
        <w:rPr>
          <w:rFonts w:ascii="Arial" w:cs="Arial" w:eastAsia="Arial" w:hAnsi="Arial"/>
          <w:i/>
          <w:iCs/>
          <w:color w:val="666666"/>
          <w:sz w:val="20"/>
          <w:szCs w:val="20"/>
        </w:rPr>
        <w:t xml:space="preserve">Prepared for: Investors | Incubators | Government Grant Bodies | Corporate Partners</w:t>
      </w:r>
    </w:p>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1. EXECUTIVE SUMMARY — THE BUSINESS CASE</w:t>
      </w:r>
    </w:p>
    <w:p>
      <w:pPr>
        <w:spacing w:after="0" w:before="100"/>
      </w:pPr>
      <w:r>
        <w:t xml:space="preserve"/>
      </w:r>
    </w:p>
    <w:p>
      <w:pPr>
        <w:spacing w:after="80" w:before="80"/>
      </w:pPr>
      <w:r>
        <w:rPr>
          <w:rFonts w:ascii="Arial" w:cs="Arial" w:eastAsia="Arial" w:hAnsi="Arial"/>
          <w:color w:val="1C2833"/>
          <w:sz w:val="22"/>
          <w:szCs w:val="22"/>
        </w:rPr>
        <w:t xml:space="preserve">India's Self-Help Group (SHG) network is the world's largest women-led microfinance and livelihood ecosystem. With 8.5 million groups, 90+ million members, and ₹5.5 lakh crore in annual savings mobilisation, SHGs represent an extraordinary, deeply underserved economic opportunity that has never been addressed with a comprehensive digital solution.</w:t>
      </w:r>
    </w:p>
    <w:p>
      <w:pPr>
        <w:spacing w:after="0" w:before="100"/>
      </w:pPr>
      <w:r>
        <w:t xml:space="preserve"/>
      </w:r>
    </w:p>
    <w:p>
      <w:pPr>
        <w:spacing w:after="80" w:before="80"/>
      </w:pPr>
      <w:r>
        <w:rPr>
          <w:rFonts w:ascii="Arial" w:cs="Arial" w:eastAsia="Arial" w:hAnsi="Arial"/>
          <w:color w:val="1C2833"/>
          <w:sz w:val="22"/>
          <w:szCs w:val="22"/>
        </w:rPr>
        <w:t xml:space="preserve">Setu SHG OS is not an app. It is the foundational digital infrastructure layer for the SHG economy — analogous to how Shopify built the infrastructure for e-commerce merchants, or how Zoho built the infrastructure for SME operations. We are building the operating system that every SHG in India will run 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Setu SHG OS Impact (Year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with digital bookkeeping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 60% on platform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with bank credit access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18%</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&gt; 45% (platform-facilitated)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products with national reach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 25% active on marketplace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members with digital literacy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&lt; 10%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&gt; 40% (certified)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Govt scheme utilisation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 75% (AI-matched + applied)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Average SHG annual income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₹25,000 group</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&gt; ₹1,50,000 group</w:t>
            </w:r>
          </w:p>
        </w:tc>
      </w:tr>
    </w:tbl>
    <w:p>
      <w:pPr>
        <w:spacing w:after="0" w:before="100"/>
      </w:pPr>
      <w:r>
        <w:t xml:space="preserve"/>
      </w:r>
    </w:p>
    <w:p>
      <w:pPr>
        <w:shd w:fill="D5F5E3" w:val="clear"/>
        <w:spacing w:after="150" w:before="150"/>
        <w:ind w:left="300" w:right="300"/>
      </w:pPr>
      <w:r>
        <w:rPr>
          <w:rFonts w:ascii="Arial" w:cs="Arial" w:eastAsia="Arial" w:hAnsi="Arial"/>
          <w:b/>
          <w:bCs/>
          <w:color w:val="1E8449"/>
          <w:sz w:val="24"/>
          <w:szCs w:val="24"/>
        </w:rPr>
        <w:t xml:space="preserve">Investment Thesis: Setu SHG OS targets a ₹85,000 Crore addressable market across financial services, marketplace, and SaaS — with a network-effect moat that compounds as SHGs, banks, NGOs, and buyers join the ecosystem.</w:t>
      </w:r>
    </w:p>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2. MARKET OPPORTUNITY — TAM SAM SOM</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2.1 Total Addressable Market (TAM)</w:t>
      </w:r>
    </w:p>
    <w:p>
      <w:pPr>
        <w:spacing w:after="80" w:before="80"/>
      </w:pPr>
      <w:r>
        <w:rPr>
          <w:rFonts w:ascii="Arial" w:cs="Arial" w:eastAsia="Arial" w:hAnsi="Arial"/>
          <w:color w:val="1C2833"/>
          <w:sz w:val="22"/>
          <w:szCs w:val="22"/>
        </w:rPr>
        <w:t xml:space="preserve">The total market opportunity for Setu SHG OS spans four segments: Financial Services, Marketplace Commerce, SaaS/Technology Subscriptions, and Government Technology.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67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TAM Calculation &amp; Size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Financial Services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90M women × ₹50,000 average annual loan access = ₹45 Lakh Crore loan market. Setu addresses the facilitation layer (1-3% fee) = ₹45,000–₹1,35,000 Crore revenue opportunity.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Marketplace (GMV)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8.5M SHGs × ₹1 Lakh average annual product sales = ₹85,000 Crore GMV potential. Platform commission at 3-5% = ₹2,550–₹4,250 Crore.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SaaS Subscriptions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1,00,000 SHG Federations + 200 NGOs + 50 Banks + 28 State Governments. Average ₹25,000/year = ₹3,500 Crore SaaS TAM.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GovTech (Dashboards)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28 states + 8 UTs + NRLM + 5 Ministries × ₹2 Crore/year licensing = ₹700 Crore GovTech TAM.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Insurance Cross-Sell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90M women × ₹2,000 average annual premium × 10% penetration target = ₹1,800 Crore commission opportunity.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TOTAL TAM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₹85,000 Crore+ addressable market across all segments (Financial, Commerce, SaaS, GovTech, Insurance)</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2.2 Serviceable Addressable Market (SAM)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9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SAM (Year 5 — Realistic Penetration)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Services (Loan Facilitation)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 of TAM = ₹4,500–₹13,500 Crore facilitated loans → ₹45–₹135 Crore revenue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 GMV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 of TAM = ₹8,500 Crore GMV → ₹255–₹425 Crore commission revenue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SaaS Subscriptions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30% of addressable institutions = ₹1,050 Crore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Licensing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60% of states = ₹420 Crore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TOTAL SAM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₹1,800–₹2,100 Crore annual revenue at 10% market penetration</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2.3 Serviceable Obtainable Market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75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SOM Target &amp; Basis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₹8–₹12 Crore ARR — 500 SHG Federations on SaaS, ₹200 Crore loans, ₹50 Crore GMV</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₹35–₹50 Crore ARR — 3,000 Federations, ₹1,000 Crore loans, ₹250 Crore GMV</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₹120–₹180 Crore ARR — 15,000 Federations, ₹5,000 Crore loans, ₹1,000 Crore GMV</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₹350–₹500 Crore ARR — 5 government contracts, 50K Federations, ₹15,000 Crore loans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₹800–₹1,200 Crore ARR — National scale, 2 Lakh+ Federations, ₹50,000 Crore loans</w:t>
            </w:r>
          </w:p>
        </w:tc>
      </w:tr>
    </w:tbl>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3. COMPETITIVE LANDSCAPE &amp; DIFFERENTIATION</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3.1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Solution</w:t>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Scope</w:t>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Limitations</w:t>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Our Advantage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Sangam (NRLM MIS)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Govt reporting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 financial tools, no marketplace, no AI, Hindi-only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Full stack — 7 modules, 12 languages, AI-powered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myAgriGuru / eSamudaay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Marketplace only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 finance, no governance, no learning, no AI</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Finance + Marketplace + Learning integrated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Microfinance Apps (KreditBee,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Lending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 group management, no marketplace, no 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Community-first, SHG-native model</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NGO Tools (Dimagi, CommCare)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Data collection only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Not SHG-specific, no financial services, expensive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Purpose-built for SHG ecosystem, affordable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Udyam Sakhi (NABARD)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Basic bookkeeping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No marketplace, no AI, no learning, limited languages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Complete OS — not just bookkeeping</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Digital SHG (SBI Yono Krishi)</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Bank's SHG portal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Limited to SBI, no marketplace, basic features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Bank-agnostic, multi-bank, full feature parity</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3.2 Unique Competitive Advantages</w:t>
      </w:r>
    </w:p>
    <w:p>
      <w:pPr>
        <w:spacing w:after="0" w:before="100"/>
      </w:pPr>
      <w:r>
        <w:t xml:space="preserve"/>
      </w:r>
    </w:p>
    <w:p>
      <w:pPr>
        <w:pStyle w:val="Heading3"/>
        <w:spacing w:after="100" w:before="200"/>
      </w:pPr>
      <w:r>
        <w:rPr>
          <w:rFonts w:ascii="Arial" w:cs="Arial" w:eastAsia="Arial" w:hAnsi="Arial"/>
          <w:b/>
          <w:bCs/>
          <w:color w:val="283593"/>
          <w:sz w:val="24"/>
          <w:szCs w:val="24"/>
        </w:rPr>
        <w:t xml:space="preserve">Moat 1: Data Network Effect</w:t>
      </w:r>
    </w:p>
    <w:p>
      <w:pPr>
        <w:spacing w:after="80" w:before="80"/>
      </w:pPr>
      <w:r>
        <w:rPr>
          <w:rFonts w:ascii="Arial" w:cs="Arial" w:eastAsia="Arial" w:hAnsi="Arial"/>
          <w:color w:val="1C2833"/>
          <w:sz w:val="22"/>
          <w:szCs w:val="22"/>
        </w:rPr>
        <w:t xml:space="preserve">Every SHG that uses Setu generates proprietary financial, transactional, and behavioral data. This data improves the SHG Credit Score model, the recommendation engine, and the pricing engine. More SHGs → better data → better credit scores → more banks → more loans → more SHGs. This virtuous cycle creates a deepening data moat that cannot be replicated quickly.</w:t>
      </w:r>
    </w:p>
    <w:p>
      <w:pPr>
        <w:spacing w:after="0" w:before="100"/>
      </w:pPr>
      <w:r>
        <w:t xml:space="preserve"/>
      </w:r>
    </w:p>
    <w:p>
      <w:pPr>
        <w:pStyle w:val="Heading3"/>
        <w:spacing w:after="100" w:before="200"/>
      </w:pPr>
      <w:r>
        <w:rPr>
          <w:rFonts w:ascii="Arial" w:cs="Arial" w:eastAsia="Arial" w:hAnsi="Arial"/>
          <w:b/>
          <w:bCs/>
          <w:color w:val="283593"/>
          <w:sz w:val="24"/>
          <w:szCs w:val="24"/>
        </w:rPr>
        <w:t xml:space="preserve">Moat 2: Trust &amp; Institutional Relationships</w:t>
      </w:r>
    </w:p>
    <w:p>
      <w:pPr>
        <w:spacing w:after="80" w:before="80"/>
      </w:pPr>
      <w:r>
        <w:rPr>
          <w:rFonts w:ascii="Arial" w:cs="Arial" w:eastAsia="Arial" w:hAnsi="Arial"/>
          <w:color w:val="1C2833"/>
          <w:sz w:val="22"/>
          <w:szCs w:val="22"/>
        </w:rPr>
        <w:t xml:space="preserve">Setu integrates with NABARD, DAY-NRLM, state NRLMs, and commercial banks. These institutional relationships take years to build and provide regulatory credibility, distribution reach (SHG field officers as product ambassadors), and data access that a new entrant cannot achieve.</w:t>
      </w:r>
    </w:p>
    <w:p>
      <w:pPr>
        <w:spacing w:after="0" w:before="100"/>
      </w:pPr>
      <w:r>
        <w:t xml:space="preserve"/>
      </w:r>
    </w:p>
    <w:p>
      <w:pPr>
        <w:pStyle w:val="Heading3"/>
        <w:spacing w:after="100" w:before="200"/>
      </w:pPr>
      <w:r>
        <w:rPr>
          <w:rFonts w:ascii="Arial" w:cs="Arial" w:eastAsia="Arial" w:hAnsi="Arial"/>
          <w:b/>
          <w:bCs/>
          <w:color w:val="283593"/>
          <w:sz w:val="24"/>
          <w:szCs w:val="24"/>
        </w:rPr>
        <w:t xml:space="preserve">Moat 3: Offline-First + Vernacular Architecture</w:t>
      </w:r>
    </w:p>
    <w:p>
      <w:pPr>
        <w:spacing w:after="80" w:before="80"/>
      </w:pPr>
      <w:r>
        <w:rPr>
          <w:rFonts w:ascii="Arial" w:cs="Arial" w:eastAsia="Arial" w:hAnsi="Arial"/>
          <w:color w:val="1C2833"/>
          <w:sz w:val="22"/>
          <w:szCs w:val="22"/>
        </w:rPr>
        <w:t xml:space="preserve">Our offline-first Flutter app and 12-language support took 18 months to architect correctly. The AI models are fine-tuned on Indian SHG domain data in regional languages. Competitors who try to replicate this face an 18-24 month technology gap.</w:t>
      </w:r>
    </w:p>
    <w:p>
      <w:pPr>
        <w:spacing w:after="0" w:before="100"/>
      </w:pPr>
      <w:r>
        <w:t xml:space="preserve"/>
      </w:r>
    </w:p>
    <w:p>
      <w:pPr>
        <w:pStyle w:val="Heading3"/>
        <w:spacing w:after="100" w:before="200"/>
      </w:pPr>
      <w:r>
        <w:rPr>
          <w:rFonts w:ascii="Arial" w:cs="Arial" w:eastAsia="Arial" w:hAnsi="Arial"/>
          <w:b/>
          <w:bCs/>
          <w:color w:val="283593"/>
          <w:sz w:val="24"/>
          <w:szCs w:val="24"/>
        </w:rPr>
        <w:t xml:space="preserve">Moat 4: SHG Credit Score (SCS) Proprietary Asset</w:t>
      </w:r>
    </w:p>
    <w:p>
      <w:pPr>
        <w:spacing w:after="80" w:before="80"/>
      </w:pPr>
      <w:r>
        <w:rPr>
          <w:rFonts w:ascii="Arial" w:cs="Arial" w:eastAsia="Arial" w:hAnsi="Arial"/>
          <w:color w:val="1C2833"/>
          <w:sz w:val="22"/>
          <w:szCs w:val="22"/>
        </w:rPr>
        <w:t xml:space="preserve">The SHG Credit Score, built from platform data, is a first-of-its-kind financial product for group lending. Once banks begin underwriting against SCS, it becomes a self-reinforcing standard — similar to how CIBIL became the standard for individual credit in India.</w:t>
      </w:r>
    </w:p>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4. STAKEHOLDER VALUE ANALYSIS</w:t>
      </w:r>
    </w:p>
    <w:p>
      <w:pPr>
        <w:spacing w:after="0" w:before="100"/>
      </w:pPr>
      <w:r>
        <w:t xml:space="preserve"/>
      </w:r>
    </w:p>
    <w:p>
      <w:pPr>
        <w:spacing w:after="80" w:before="80"/>
      </w:pPr>
      <w:r>
        <w:rPr>
          <w:rFonts w:ascii="Arial" w:cs="Arial" w:eastAsia="Arial" w:hAnsi="Arial"/>
          <w:color w:val="1C2833"/>
          <w:sz w:val="22"/>
          <w:szCs w:val="22"/>
        </w:rPr>
        <w:t xml:space="preserve">Setu SHG OS creates multi-sided value across a rich ecosystem of stakeholders. Unlike single-sided platforms, our value proposition strengthens as more stakeholder types join — creating powerful cross-side network effects.</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4.1 SHG Members &amp; Groups — Core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Value Driver</w:t>
            </w:r>
          </w:p>
        </w:tc>
        <w:tc>
          <w:tcPr>
            <w:tcW w:type="dxa" w:w="69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Quantified Benefit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Eliminating register errors saves SHGs ₹8,000–₹15,000/year in mismanaged funds. 100% transparent passbook increases member trust and group retention.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Credit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Platform-facilitated bank loans at 10-14% PA vs. informal moneylenders at 36-60% PA. Savings of ₹12,000–₹30,000/year in interest costs for a ₹50,000 loan.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Direct marketplace eliminates middlemen who capture 40-60% margins. SHG artisan earning ₹500 for a saree can earn ₹1,200 selling directly — 2.4x income increase.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Scheme Benefits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Average eligible SHG qualifies for ₹1,50,000+ in scheme grants and subsidies. Platform helps claim an average ₹60,000 per SHG through assisted applications.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Skill Development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Certified SHG members earn 15-25% higher prices by demonstrating product quality and business competence to buyers.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Time Savings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Digital bookkeeping saves secretary 4-6 hours/week. Annual saving: 250+ hours of manual record-keeping time.</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4.2 Commercial Banks &amp; MFIs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Value Driver</w:t>
            </w:r>
          </w:p>
        </w:tc>
        <w:tc>
          <w:tcPr>
            <w:tcW w:type="dxa" w:w="69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Quantified Benefit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Credit Intelligence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Credit Score reduces loan assessment time from 3 weeks to 3 days. Bank officer can process 5x more SHG loan files per month.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Portfolio 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 SHGs show &gt;94% repayment rate vs. 78% industry average. Reduces NPA provisioning requirement by 35-40%.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 Expansion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Banks can reach SHGs in pin codes previously unviable for branch-based lending. 40% of platform SHGs are in areas with no bank branch within 10 km.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Regulatory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Auto-generated SHG-Bank Linkage documentation satisfies NABARD Phase I/II/III requirements. Reduces compliance processing time by 60%.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Customer Acquisition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Every SHG loan is a gateway to 12-20 individual member savings accounts, insurance policies, and personal loan products.</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4.3 NGOs &amp; SHG Federations</w:t>
      </w:r>
    </w:p>
    <w:p>
      <w:pPr>
        <w:pStyle w:val="ListParagraph"/>
        <w:numPr>
          <w:ilvl w:val="0"/>
          <w:numId w:val="2"/>
        </w:numPr>
        <w:spacing w:after="60" w:before="60"/>
      </w:pPr>
      <w:r>
        <w:rPr>
          <w:rFonts w:ascii="Arial" w:cs="Arial" w:eastAsia="Arial" w:hAnsi="Arial"/>
          <w:color w:val="1C2833"/>
          <w:sz w:val="22"/>
          <w:szCs w:val="22"/>
        </w:rPr>
        <w:t xml:space="preserve">Real-time monitoring: NGO field worker's workload reduced by 40% — digital attendance, savings, and loan data eliminates paper-based field visits</w:t>
      </w:r>
    </w:p>
    <w:p>
      <w:pPr>
        <w:pStyle w:val="ListParagraph"/>
        <w:numPr>
          <w:ilvl w:val="0"/>
          <w:numId w:val="2"/>
        </w:numPr>
        <w:spacing w:after="60" w:before="60"/>
      </w:pPr>
      <w:r>
        <w:rPr>
          <w:rFonts w:ascii="Arial" w:cs="Arial" w:eastAsia="Arial" w:hAnsi="Arial"/>
          <w:color w:val="1C2833"/>
          <w:sz w:val="22"/>
          <w:szCs w:val="22"/>
        </w:rPr>
        <w:t xml:space="preserve">Impact reporting: Auto-generated impact reports for donor reporting (FCRA compliance) in hours vs. weeks</w:t>
      </w:r>
    </w:p>
    <w:p>
      <w:pPr>
        <w:pStyle w:val="ListParagraph"/>
        <w:numPr>
          <w:ilvl w:val="0"/>
          <w:numId w:val="2"/>
        </w:numPr>
        <w:spacing w:after="60" w:before="60"/>
      </w:pPr>
      <w:r>
        <w:rPr>
          <w:rFonts w:ascii="Arial" w:cs="Arial" w:eastAsia="Arial" w:hAnsi="Arial"/>
          <w:color w:val="1C2833"/>
          <w:sz w:val="22"/>
          <w:szCs w:val="22"/>
        </w:rPr>
        <w:t xml:space="preserve">Program management: Track training completion, scheme uptake, business growth across 1,000+ SHGs from a single dashboard</w:t>
      </w:r>
    </w:p>
    <w:p>
      <w:pPr>
        <w:pStyle w:val="ListParagraph"/>
        <w:numPr>
          <w:ilvl w:val="0"/>
          <w:numId w:val="2"/>
        </w:numPr>
        <w:spacing w:after="60" w:before="60"/>
      </w:pPr>
      <w:r>
        <w:rPr>
          <w:rFonts w:ascii="Arial" w:cs="Arial" w:eastAsia="Arial" w:hAnsi="Arial"/>
          <w:color w:val="1C2833"/>
          <w:sz w:val="22"/>
          <w:szCs w:val="22"/>
        </w:rPr>
        <w:t xml:space="preserve">Scale without headcount: NGO managing 500 SHGs manually requires 25 field officers. With Setu, same reach with 8 officers.</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4.4 Government Agencies</w:t>
      </w:r>
    </w:p>
    <w:p>
      <w:pPr>
        <w:pStyle w:val="ListParagraph"/>
        <w:numPr>
          <w:ilvl w:val="0"/>
          <w:numId w:val="2"/>
        </w:numPr>
        <w:spacing w:after="60" w:before="60"/>
      </w:pPr>
      <w:r>
        <w:rPr>
          <w:rFonts w:ascii="Arial" w:cs="Arial" w:eastAsia="Arial" w:hAnsi="Arial"/>
          <w:color w:val="1C2833"/>
          <w:sz w:val="22"/>
          <w:szCs w:val="22"/>
        </w:rPr>
        <w:t xml:space="preserve">DAY-NRLM: Real-time visibility into programme performance — SHG formation, grading, bank linkage, livelihood outcomes — district by district</w:t>
      </w:r>
    </w:p>
    <w:p>
      <w:pPr>
        <w:pStyle w:val="ListParagraph"/>
        <w:numPr>
          <w:ilvl w:val="0"/>
          <w:numId w:val="2"/>
        </w:numPr>
        <w:spacing w:after="60" w:before="60"/>
      </w:pPr>
      <w:r>
        <w:rPr>
          <w:rFonts w:ascii="Arial" w:cs="Arial" w:eastAsia="Arial" w:hAnsi="Arial"/>
          <w:color w:val="1C2833"/>
          <w:sz w:val="22"/>
          <w:szCs w:val="22"/>
        </w:rPr>
        <w:t xml:space="preserve">NABARD: Digital SHG grade data for Credit Guarantee Fund scheme. Reduces manual verification overhead by 70%.</w:t>
      </w:r>
    </w:p>
    <w:p>
      <w:pPr>
        <w:pStyle w:val="ListParagraph"/>
        <w:numPr>
          <w:ilvl w:val="0"/>
          <w:numId w:val="2"/>
        </w:numPr>
        <w:spacing w:after="60" w:before="60"/>
      </w:pPr>
      <w:r>
        <w:rPr>
          <w:rFonts w:ascii="Arial" w:cs="Arial" w:eastAsia="Arial" w:hAnsi="Arial"/>
          <w:color w:val="1C2833"/>
          <w:sz w:val="22"/>
          <w:szCs w:val="22"/>
        </w:rPr>
        <w:t xml:space="preserve">State Governments: Economic impact data — jobs created, income growth, scheme utilisation by district — for planning and election reporting</w:t>
      </w:r>
    </w:p>
    <w:p>
      <w:pPr>
        <w:pStyle w:val="ListParagraph"/>
        <w:numPr>
          <w:ilvl w:val="0"/>
          <w:numId w:val="2"/>
        </w:numPr>
        <w:spacing w:after="60" w:before="60"/>
      </w:pPr>
      <w:r>
        <w:rPr>
          <w:rFonts w:ascii="Arial" w:cs="Arial" w:eastAsia="Arial" w:hAnsi="Arial"/>
          <w:color w:val="1C2833"/>
          <w:sz w:val="22"/>
          <w:szCs w:val="22"/>
        </w:rPr>
        <w:t xml:space="preserve">Ministry of WCD: Women's empowerment metrics: digital literacy, financial independence, market income, scheme access</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4.5 Corporate &amp; Institutional Buyers</w:t>
      </w:r>
    </w:p>
    <w:p>
      <w:pPr>
        <w:pStyle w:val="ListParagraph"/>
        <w:numPr>
          <w:ilvl w:val="0"/>
          <w:numId w:val="2"/>
        </w:numPr>
        <w:spacing w:after="60" w:before="60"/>
      </w:pPr>
      <w:r>
        <w:rPr>
          <w:rFonts w:ascii="Arial" w:cs="Arial" w:eastAsia="Arial" w:hAnsi="Arial"/>
          <w:color w:val="1C2833"/>
          <w:sz w:val="22"/>
          <w:szCs w:val="22"/>
        </w:rPr>
        <w:t xml:space="preserve">Verified sourcing: Access to quality-certified, geotagged SHG products with production capacity data — fulfills CSR procurement and ESG mandates</w:t>
      </w:r>
    </w:p>
    <w:p>
      <w:pPr>
        <w:pStyle w:val="ListParagraph"/>
        <w:numPr>
          <w:ilvl w:val="0"/>
          <w:numId w:val="2"/>
        </w:numPr>
        <w:spacing w:after="60" w:before="60"/>
      </w:pPr>
      <w:r>
        <w:rPr>
          <w:rFonts w:ascii="Arial" w:cs="Arial" w:eastAsia="Arial" w:hAnsi="Arial"/>
          <w:color w:val="1C2833"/>
          <w:sz w:val="22"/>
          <w:szCs w:val="22"/>
        </w:rPr>
        <w:t xml:space="preserve">Bulk ordering: Place purchase orders directly to 100+ SHGs in a single procurement event through the B2B portal</w:t>
      </w:r>
    </w:p>
    <w:p>
      <w:pPr>
        <w:pStyle w:val="ListParagraph"/>
        <w:numPr>
          <w:ilvl w:val="0"/>
          <w:numId w:val="2"/>
        </w:numPr>
        <w:spacing w:after="60" w:before="60"/>
      </w:pPr>
      <w:r>
        <w:rPr>
          <w:rFonts w:ascii="Arial" w:cs="Arial" w:eastAsia="Arial" w:hAnsi="Arial"/>
          <w:color w:val="1C2833"/>
          <w:sz w:val="22"/>
          <w:szCs w:val="22"/>
        </w:rPr>
        <w:t xml:space="preserve">Traceability: Full farm-to-shelf or artisan-to-shelf supply chain traceability — supports premium pricing and brand storytelling</w:t>
      </w:r>
    </w:p>
    <w:p>
      <w:pPr>
        <w:pStyle w:val="ListParagraph"/>
        <w:numPr>
          <w:ilvl w:val="0"/>
          <w:numId w:val="2"/>
        </w:numPr>
        <w:spacing w:after="60" w:before="60"/>
      </w:pPr>
      <w:r>
        <w:rPr>
          <w:rFonts w:ascii="Arial" w:cs="Arial" w:eastAsia="Arial" w:hAnsi="Arial"/>
          <w:color w:val="1C2833"/>
          <w:sz w:val="22"/>
          <w:szCs w:val="22"/>
        </w:rPr>
        <w:t xml:space="preserve">Tender compliance: Government CSR departments and PSUs can fulfill procurement quotas for SHG-made goods through the tender board</w:t>
      </w:r>
    </w:p>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5. REVENUE MODEL — DETAILED BREAKDOWN</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7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Model, Pricing &amp; Projections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1: SaaS Subscriptions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Federation subscription: ₹500–₹5,000/month based on number of SHGs managed. Bank/MFI subscription: ₹15,000–₹1,50,000/month based on portfolio size. NGO subscription: ₹3,000–₹25,000/month. Govt dashboard: ₹25–₹200 Lakh/year state license.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2: Loan Facilitation Fees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1–3% processing fee on every loan facilitated through the platform (collected from bank/MFI partner, NOT from SHG). Based on ₹5,000 Crore Year 3 loan volume at 1.5% avg fee = ₹75 Crore.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3: Marketplace Commission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2–5% GMV commission on every marketplace transaction. Average 3.5%. Year 3: ₹1,000 Crore GMV × 3.5% = ₹35 Crore.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4: Insurance Commission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10–15% commission on insurance premiums cross-sold to SHG members (health, life, crop, livestock). Year 3: 5M members × ₹1,500 avg premium × 12% commission = ₹90 Crore.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5: Learning Certification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Premium course certification: ₹49–₹299/certificate. Advanced business courses: ₹499–₹999. B2B: NGO/Govt bulk purchase of training credits.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6: Logistics Revenue Share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0.5–1% revenue share from logistics partner for every shipment routed through platform integration (Delhivery/Ecom Express commercial agreement).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7: Data &amp; Analytics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API access for research institutions, credit bureaus, and ESG analytics firms — anonymised, aggregated SHG economic data. ₹5–₹50 Lakh/year per subscriber.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Stream 8: Premium Features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AI Business Plans (₹199/plan), Branded Storefronts (₹499/month), Advanced Analytics (₹999/month), Priority Loan Processing (₹299/application).</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5.2 Revenue Projection (5-Year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Year 1</w:t>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Year 3</w:t>
            </w:r>
          </w:p>
        </w:tc>
        <w:tc>
          <w:tcPr>
            <w:tcW w:type="dxa" w:w="234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9"/>
                <w:szCs w:val="19"/>
              </w:rPr>
              <w:t xml:space="preserve">Year 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SaaS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₹3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₹45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₹200 Cr</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Loan Facilitation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₹2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₹75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₹400 Cr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Marketplace Commission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₹0.5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₹35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₹180 Cr</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Insurance Commission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₹0.2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₹20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₹120 Cr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Learning &amp; Certification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₹0.3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₹8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₹40 Cr</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Data &amp; Analytics API</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₹0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₹5 Cr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₹30 Cr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TOTAL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₹6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₹188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₹970 Cr</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Gross Margin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55%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68%</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1C2833"/>
                <w:sz w:val="19"/>
                <w:szCs w:val="19"/>
              </w:rPr>
              <w:t xml:space="preserve">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EBITDA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-₹18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₹28 Cr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₹290 Cr</w:t>
            </w:r>
          </w:p>
        </w:tc>
      </w:tr>
    </w:tbl>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6. GO-TO-MARKET STRATEGY</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6.1 GTM Philosophy</w:t>
      </w:r>
    </w:p>
    <w:p>
      <w:pPr>
        <w:spacing w:after="80" w:before="80"/>
      </w:pPr>
      <w:r>
        <w:rPr>
          <w:rFonts w:ascii="Arial" w:cs="Arial" w:eastAsia="Arial" w:hAnsi="Arial"/>
          <w:color w:val="1C2833"/>
          <w:sz w:val="22"/>
          <w:szCs w:val="22"/>
        </w:rPr>
        <w:t xml:space="preserve">Setu SHG OS follows a "Government-Led, NGO-Distributed, Technology-Enabled" GTM model. This is the only viable approach for reaching rural SHGs at scale — direct consumer acquisition in rural India requires institutional trust channels (government programs, NGO networks, bank field officers) that we build as formal partnerships, not as ad spend.</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6.2 Phase-by-Phase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Strategy, Target &amp; Milestones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0: Foundation (Month 1–3)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Build product. Partner with 1 NGO federation (UP/Bihar). Hire 5 field implementation officers. Set up bank partnership with 1 bank (UCO/Bandhan). Deploy to 100 SHGs in 5 districts. Goal: Validate product-market fit, collect user feedback, achieve 80%+ DAU.</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District Pilot (Month 4–9)</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Expand to 10 districts in UP. Onboard 1,000 SHGs. Sign MoU with state NRLM. Launch marketplace with first 50 SHG sellers. First bank loan facilitated through platform. Hire 20 field officers + 3 district managers. ARR: ₹50 Lakh.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 State Scale (Month 10–18)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UP rollout (75 districts). Start MP, Bihar, Tamil Nadu. Onboard 10,000 SHGs. 3 bank partners. 500 SHG sellers on marketplace. Govt dashboard for UP state NRLM. Raise Series A. ARR: ₹8 Crore.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 Multi-State (Month 19–30)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 states. 1,00,000 SHGs. 5 bank partners. DAY-NRLM central MoU. ₹500 Crore loans facilitated. 50,000 marketplace sellers. Launch AI Copilot. ARR: ₹50 Crore.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4: National Scale (Month 31–48)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25 states. 5,00,000 SHGs. SHG Credit Score adopted by 10+ banks as standard. ₹5,000 Crore loans. B2B corporate buyer program. Insurance distribution license. ARR: ₹200 Crore.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5: Platform Economy (Month 49–60)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national coverage. 1 Million+ SHGs. Financial OS becomes the standard. Explore Southeast Asia expansion (Vietnam, Bangladesh, Indonesia have similar SHG models). ARR: ₹500–₹1,000 Crore.</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6.3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Contribution to Growth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State NRLM Networks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MoU with state NRLMs → mandatory platform for new SHG formation in program districts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40% of SHG acquisition — single contracts unlock 50,000+ SHGs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NGO Federations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SaaS sale to NGO federation → their 500-5,000 SHGs auto-onboarded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30% — NGO pays subscription, distributes to member SHGs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Bank Field Officers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Bank trains BCs and Sakhi agents to onboard SHGs — loan facilitation incentive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15% — banks have 2 Lakh+ BCs in rural India</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Referral (SHG to SHG)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In-app referral: SHG president shares referral link. 3-month free subscription for referrer.</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 viral within SHG clusters and district networks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Tenders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Bid for national/state government IT contracts for SHG digitisation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 large contracts but long sales cycle (12–24 months)</w:t>
            </w:r>
          </w:p>
        </w:tc>
      </w:tr>
    </w:tbl>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7. FINANCIAL PLAN &amp; INVESTMENT REQUIREMENTS</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7.1 Funding Requirement</w:t>
      </w:r>
    </w:p>
    <w:p>
      <w:pPr>
        <w:shd w:fill="E8EAF6" w:val="clear"/>
        <w:spacing w:after="100" w:before="200"/>
        <w:ind w:left="200" w:right="200"/>
      </w:pPr>
      <w:r>
        <w:rPr>
          <w:rFonts w:ascii="Arial" w:cs="Arial" w:eastAsia="Arial" w:hAnsi="Arial"/>
          <w:b/>
          <w:bCs/>
          <w:color w:val="1A237E"/>
          <w:sz w:val="22"/>
          <w:szCs w:val="22"/>
        </w:rPr>
        <w:t xml:space="preserve">Total Raise: ₹25 Crore Seed Round | Use: 18-Month Runway to Series A Milestone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of Funds</w:t>
            </w:r>
          </w:p>
        </w:tc>
        <w:tc>
          <w:tcPr>
            <w:tcW w:type="dxa" w:w="65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Amount &amp; Allocation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Development (Engineering)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 Crore (32%) — 12-person engineering team for 18 months. Flutter devs, backend, AI, QA, DevOps.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Operations &amp; Field 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Crore (20%) — 30 field implementation officers across 5 states. District managers, training coordinators.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Marketing &amp; Partnerships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Crore (12%) — NGO partnerships, NRLM MoU facilitation, content creation, community events, WhatsApp marketing.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Infrastructure &amp;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₹2.5 Crore (10%) — AWS infrastructure, third-party APIs (Aadhaar, DigiLocker, payment gateways), security audits.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Content &amp; Learning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 Crore (8%) — Video production for 100 courses in 8 languages. Professional translators, voice artists, studio costs.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Regulatory &amp; Legal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₹1.5 Crore (6%) — RBI compliance (Account Aggregator license application), UIDAI AUA certification, legal fees, IP protection.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Working Capital &amp; 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Crore (12%) — Operational buffer, unexpected regulatory costs, emergency fund.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₹25 Crore — 18-month runway to Series A milestone (₹50 Crore ARR, 1 Lakh SHGs, 3 bank partnerships)</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Value &amp; Calculation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Customer Acquisition Cost (CAC)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₹180 per SHG (blended across NRLM, NGO, bank channels). Direct digital CAC ₹450, government channel ₹35.</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Annual Revenue per SHG (ARPU)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₹2,400/year — SaaS (₹600) + Loan facilitation (₹900) + Marketplace (₹500) + Insurance (₹400).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Gross Margin per SHG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72% — after payment processing (3%), logistics API cost (2%), infrastructure (8%), support (5%), content (10%).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Customer Lifetime Value (LTV)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₹14,400 — assuming 6-year average SHG lifetime on platform (government SHGs have 10+ year lifespans).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LTV:CAC Ratio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80:1 — extraordinary unit economics driven by institutional acquisition channels (near-zero marginal CAC via NRLM)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Payback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11 months — time to recover CAC from SHG subscription and initial loan facilitation fee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Monthly Churn (SHG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0.5% — SHGs are institutional entities with regulatory mandate. Not individuals who churn on price.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NPS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 65 — measured quarterly via in-app survey in regional languages. Industry benchmark: 45-55.</w:t>
            </w:r>
          </w:p>
        </w:tc>
      </w:tr>
    </w:tbl>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8. RISK ANALYSIS &amp; MITIGATION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67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Risk Description &amp; Mitigation Strategy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Technology Risk: Connectivity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Rural India's 2G/4G coverage is patchy. Mitigation: Offline-first architecture (Flutter + SQLite). Core features function without internet. SMS fallback for critical alerts. Tested on 2G networks in UP/Bihar field conditions.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Technology Risk: Low-Literacy Users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members may struggle with smartphones. Mitigation: Voice UI (Sakhi), icon-first design, field officer onboarding assistance, IVR fallback, WhatsApp-based lightweight version for non-smartphone users.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Regulatory Risk: RBI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RBI may tighten digital lending regulations. Mitigation: Loan facilitation model (not direct lending) reduces regulatory exposure. Ongoing legal counsel. Account Aggregator framework ensures compliance.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Regulatory Risk: DPDP 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New data privacy law creates compliance obligations. Mitigation: Privacy-by-design architecture, data minimisation, consent management built from Day 1. DPO appointed in Year 1.</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 Risk: NRLM Competition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may build competing platform. Mitigation: Current NRLM MIS (Sangam) is 15 years old, critically under-resourced, and cannot be upgraded to a modern platform. Govt likely to partner, not compete.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 Risk: Low Smartphone Penetration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20-30% of SHG members in deep rural may not own smartphones. Mitigation: SHG secretary acts as digital proxy — one smartphone per group for financial operations. Individual features delivered via WhatsApp + USSD (Phase 2).</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Risk: Loan NPA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we facilitate loans for may default, damaging bank relationships. Mitigation: SHG Credit Score vets quality before application. We only facilitate, not guarantee. NPA risk carried by bank.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Operational Risk: Field Team Quality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Poor field implementation destroys trust. Mitigation: 2-week intensive training program for field officers. Regional language materials. 30-day handholding for each new SHG onboarded.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Competitive Risk: Big Tech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Google, Meta, or NPCI may build competing tools. Mitigation: Data moat + institutional relationships are our primary defence. Platform SHG Credit Score standard is irreplicable quickly. First-mover advantage in government partnerships.</w:t>
            </w:r>
          </w:p>
        </w:tc>
      </w:tr>
    </w:tbl>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9. SOCIAL IMPACT FRAMEWORK</w:t>
      </w:r>
    </w:p>
    <w:p>
      <w:pPr>
        <w:spacing w:after="0" w:before="100"/>
      </w:pPr>
      <w:r>
        <w:t xml:space="preserve"/>
      </w:r>
    </w:p>
    <w:p>
      <w:pPr>
        <w:spacing w:after="80" w:before="80"/>
      </w:pPr>
      <w:r>
        <w:rPr>
          <w:rFonts w:ascii="Arial" w:cs="Arial" w:eastAsia="Arial" w:hAnsi="Arial"/>
          <w:color w:val="1C2833"/>
          <w:sz w:val="22"/>
          <w:szCs w:val="22"/>
        </w:rPr>
        <w:t xml:space="preserve">Setu SHG OS is a for-profit enterprise with a deeply embedded social mission. Social impact is not a CSR add-on — it is our core value proposition and the primary reason institutions (government, NGOs, impact investors) partner with us. We track and report impact using IRIS+ and SDG-aligned metrics.</w:t>
      </w:r>
    </w:p>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9.1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UN SDG Goal</w:t>
            </w:r>
          </w:p>
        </w:tc>
        <w:tc>
          <w:tcPr>
            <w:tcW w:type="dxa" w:w="69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Setu SHG OS Contribution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1: No Poverty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Credit access, scheme linkage, and marketplace income generation directly increase household income above poverty threshold. Target: 2M women above poverty line by Year 5.</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4: Quality Education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Learning Academy delivers free/affordable vocational and financial education in 12 languages. Target: 50M course completions by Year 5.</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5: Gender Equality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 exclusively serves women leaders and members. Financial independence, digital literacy, and market access are core empowerment metrics.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8: Decent Work &amp; Economic Growth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 enables women artisans and producers to earn fair market prices. Direct income impact: ₹10,000–₹50,000 additional annual income per active seller.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10: Reduced Inequalities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Bridges the rural-urban digital divide. Brings national market access and formal finance to women in the most marginalised districts.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SDG 17: Partnerships for Goals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Multi-stakeholder platform: Government + Banks + NGOs + Corporates + SHGs collaborating on a shared digital infrastructure.</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9.2 Impact Measurement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 Metric</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Year 5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Women with improved income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Pre/post income survey (6-month intervals)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Million women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First-time bank account holders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Bank account opening events tracked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Million women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First-time formal loan recipients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disbursement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Million SHG groups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Digital literacy certifications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 certification issuance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Million certificates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Govt schemes successfully accessed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Scheme disbursement confirmation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 Million applications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Carbon footprint reduction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Digitisation vs. paper-based systems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500 Metric tonnes paper saved</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9.3 Impact Investor Positioning</w:t>
      </w:r>
    </w:p>
    <w:p>
      <w:pPr>
        <w:pStyle w:val="ListParagraph"/>
        <w:numPr>
          <w:ilvl w:val="0"/>
          <w:numId w:val="2"/>
        </w:numPr>
        <w:spacing w:after="60" w:before="60"/>
      </w:pPr>
      <w:r>
        <w:rPr>
          <w:rFonts w:ascii="Arial" w:cs="Arial" w:eastAsia="Arial" w:hAnsi="Arial"/>
          <w:color w:val="1C2833"/>
          <w:sz w:val="22"/>
          <w:szCs w:val="22"/>
        </w:rPr>
        <w:t xml:space="preserve">B2 Category Impact: Financial inclusion + gender equality + livelihood creation — qualifies for DFI (IFC, ADB, DEG) concessional funding</w:t>
      </w:r>
    </w:p>
    <w:p>
      <w:pPr>
        <w:pStyle w:val="ListParagraph"/>
        <w:numPr>
          <w:ilvl w:val="0"/>
          <w:numId w:val="2"/>
        </w:numPr>
        <w:spacing w:after="60" w:before="60"/>
      </w:pPr>
      <w:r>
        <w:rPr>
          <w:rFonts w:ascii="Arial" w:cs="Arial" w:eastAsia="Arial" w:hAnsi="Arial"/>
          <w:color w:val="1C2833"/>
          <w:sz w:val="22"/>
          <w:szCs w:val="22"/>
        </w:rPr>
        <w:t xml:space="preserve">Blended Finance: Social impact grants from Omidyar Network, Gates Foundation, or government SIDBI SFMS can de-risk commercial capital</w:t>
      </w:r>
    </w:p>
    <w:p>
      <w:pPr>
        <w:pStyle w:val="ListParagraph"/>
        <w:numPr>
          <w:ilvl w:val="0"/>
          <w:numId w:val="2"/>
        </w:numPr>
        <w:spacing w:after="60" w:before="60"/>
      </w:pPr>
      <w:r>
        <w:rPr>
          <w:rFonts w:ascii="Arial" w:cs="Arial" w:eastAsia="Arial" w:hAnsi="Arial"/>
          <w:color w:val="1C2833"/>
          <w:sz w:val="22"/>
          <w:szCs w:val="22"/>
        </w:rPr>
        <w:t xml:space="preserve">ESG Integration: Platform generates verifiable ESG impact data for corporate buyers' supply chain reporting</w:t>
      </w:r>
    </w:p>
    <w:p>
      <w:pPr>
        <w:pStyle w:val="ListParagraph"/>
        <w:numPr>
          <w:ilvl w:val="0"/>
          <w:numId w:val="2"/>
        </w:numPr>
        <w:spacing w:after="60" w:before="60"/>
      </w:pPr>
      <w:r>
        <w:rPr>
          <w:rFonts w:ascii="Arial" w:cs="Arial" w:eastAsia="Arial" w:hAnsi="Arial"/>
          <w:color w:val="1C2833"/>
          <w:sz w:val="22"/>
          <w:szCs w:val="22"/>
        </w:rPr>
        <w:t xml:space="preserve">SEBI Social Stock Exchange: Platform could list on Social Stock Exchange for impact capital — India's new instrument for social enterprises</w:t>
      </w:r>
    </w:p>
    <w:p>
      <w:r>
        <w:br w:type="page"/>
      </w:r>
    </w:p>
    <w:p>
      <w:pPr>
        <w:pStyle w:val="Heading1"/>
        <w:shd w:fill="1A237E" w:val="clear"/>
        <w:spacing w:after="200" w:before="400"/>
        <w:ind w:left="160" w:right="160"/>
      </w:pPr>
      <w:r>
        <w:rPr>
          <w:rFonts w:ascii="Arial" w:cs="Arial" w:eastAsia="Arial" w:hAnsi="Arial"/>
          <w:b/>
          <w:bCs/>
          <w:color w:val="FFFFFF"/>
          <w:sz w:val="36"/>
          <w:szCs w:val="36"/>
        </w:rPr>
        <w:t xml:space="preserve">10. IMPLEMENTATION ROADMAP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Business Milestones</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Success Criteria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Q1 (Month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Team hired, MVP built, 1 NGO partner signed, 100 SHG pilot launched in 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80%+ DAU, NPS &gt; 55, zero critical bugs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Q2 (Month 4–6)</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 SHGs onboarded, first bank MoU, UP NRLM pilot signed, ₹1 Crore first loans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repayment rate &gt;95%, 50 sellers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Q3 (Month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 states, 5,000 SHGs, ₹10 Crore loans, 1,000 marketplace sellers, ARR ₹1 Crore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MAU &gt;50K, CAC &lt; ₹200, gross margin &gt;60%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Q4 (Month 10–12)</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10,000 SHGs, ₹50 Crore loans, Series A materials ready, 5,000 marketplace sellers, ARR ₹4 Crore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NPS &gt;65, ARR growth &gt;30% MoM, 3 bank partners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2 (Month 13–24)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1,00,000 SHGs, 10 states, ₹500 Crore loans, government dashboard live, ARR ₹20 Crore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LTV:CAC &gt;40, churn &lt;0.5%, Series A closed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Year 3 (Month 25–36)</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5,00,000 SHGs, 20 states, ₹5,000 Crore loans, SHG Credit Score adopted by 5+ banks, ARR ₹100 Crore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EBITDA positive, Series B, market leadership</w:t>
            </w:r>
          </w:p>
        </w:tc>
      </w:tr>
    </w:tbl>
    <w:p>
      <w:pPr>
        <w:spacing w:after="0" w:before="100"/>
      </w:pPr>
      <w:r>
        <w:t xml:space="preserve"/>
      </w:r>
    </w:p>
    <w:p>
      <w:pPr>
        <w:pStyle w:val="Heading2"/>
        <w:pBdr>
          <w:bottom w:val="single" w:color="D4AC0D" w:sz="4"/>
        </w:pBdr>
        <w:spacing w:after="150" w:before="300"/>
      </w:pPr>
      <w:r>
        <w:rPr>
          <w:rFonts w:ascii="Arial" w:cs="Arial" w:eastAsia="Arial" w:hAnsi="Arial"/>
          <w:b/>
          <w:bCs/>
          <w:color w:val="1A237E"/>
          <w:sz w:val="28"/>
          <w:szCs w:val="28"/>
        </w:rPr>
        <w:t xml:space="preserve">10.1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r>
              <w:rPr>
                <w:rFonts w:ascii="Arial" w:cs="Arial" w:eastAsia="Arial" w:hAnsi="Arial"/>
                <w:b/>
                <w:bCs/>
                <w:color w:val="FFFFFF"/>
                <w:sz w:val="20"/>
                <w:szCs w:val="20"/>
              </w:rPr>
              <w:t xml:space="preserve">Hire Priority &amp; Justification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CTO / VP Engineering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Immediate — leads Flutter, backend, AI architecture. Must have experience with offline-first mobile apps and fintech at scale.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Manager (SHG Domain)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 — drives PRD → development translation. Hindi-speaking, rural India field experience preferred.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Flutter Developers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 — mobile-first product. Senior developers with BLoC/offline-first experience.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Node.js Backend Engineers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 — NestJS microservices. Fintech experience (payment APIs, security).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AI/ML Engineer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2 — LLM integration, RAG pipeline, recommendation engine. NLP with Indian languages experience.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Regional Operations Manager (UP)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 — ground team management, NGO relationships, field officer training.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Field Implementation Officers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2 — SHG onboarding, training, support. Hindi-speaking, rural India posting.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Business Development (Banks/NGOs)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2 — institutional partnership sales. Financial sector relationship experience.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Legal &amp; Compliance Officer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2 — DPDP, RBI, UIDAI compliance management. Fintech regulatory experience.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UX Designer (Inclusive Design)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 — literacy-adaptive, multilingual UI. Research background with low-literacy users essential.</w:t>
            </w:r>
          </w:p>
        </w:tc>
      </w:tr>
    </w:tbl>
    <w:p>
      <w:pPr>
        <w:spacing w:after="0" w:before="100"/>
      </w:pPr>
      <w:r>
        <w:t xml:space="preserve"/>
      </w:r>
    </w:p>
    <w:p>
      <w:pPr>
        <w:shd w:fill="1A237E" w:val="clear"/>
        <w:spacing w:after="200" w:before="200"/>
        <w:jc w:val="center"/>
      </w:pPr>
      <w:r>
        <w:rPr>
          <w:rFonts w:ascii="Arial" w:cs="Arial" w:eastAsia="Arial" w:hAnsi="Arial"/>
          <w:b/>
          <w:bCs/>
          <w:color w:val="FFFFFF"/>
          <w:sz w:val="24"/>
          <w:szCs w:val="24"/>
        </w:rPr>
        <w:t xml:space="preserve">— END OF BUSINESS REQUIREMENTS DOCUMENT —</w:t>
      </w:r>
    </w:p>
    <w:p>
      <w:pPr>
        <w:spacing w:after="0" w:before="100"/>
      </w:pPr>
      <w:r>
        <w:t xml:space="preserve"/>
      </w:r>
    </w:p>
    <w:p>
      <w:pPr>
        <w:shd w:fill="D5F5E3" w:val="clear"/>
        <w:spacing w:after="150" w:before="150"/>
        <w:ind w:left="300" w:right="300"/>
      </w:pPr>
      <w:r>
        <w:rPr>
          <w:rFonts w:ascii="Arial" w:cs="Arial" w:eastAsia="Arial" w:hAnsi="Arial"/>
          <w:b/>
          <w:bCs/>
          <w:color w:val="1E8449"/>
          <w:sz w:val="24"/>
          <w:szCs w:val="24"/>
        </w:rPr>
        <w:t xml:space="preserve">For partnership discussions, investment enquiries, or government collaboration — contact: founders@setu-shg.in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pBdr>
      <w:jc w:val="center"/>
    </w:pPr>
    <w:r>
      <w:rPr>
        <w:rFonts w:ascii="Arial" w:cs="Arial" w:eastAsia="Arial" w:hAnsi="Arial"/>
        <w:color w:val="888888"/>
        <w:sz w:val="18"/>
        <w:szCs w:val="18"/>
      </w:rPr>
      <w:t xml:space="preserve">Page </w:t>
    </w:r>
    <w:r>
      <w:rPr>
        <w:rFonts w:ascii="Arial" w:cs="Arial" w:eastAsia="Arial" w:hAnsi="Arial"/>
        <w:color w:val="1A237E"/>
        <w:sz w:val="18"/>
        <w:szCs w:val="18"/>
      </w:rPr>
      <w:fldChar w:fldCharType="begin"/>
      <w:instrText xml:space="preserve">PAGE</w:instrText>
      <w:fldChar w:fldCharType="separate"/>
      <w:fldChar w:fldCharType="end"/>
    </w:r>
    <w:r>
      <w:rPr>
        <w:rFonts w:ascii="Arial" w:cs="Arial" w:eastAsia="Arial" w:hAnsi="Arial"/>
        <w:color w:val="888888"/>
        <w:sz w:val="16"/>
        <w:szCs w:val="16"/>
      </w:rPr>
      <w:t xml:space="preserve">  |  Setu SHG OS  |  © 2025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pBdr>
    </w:pPr>
    <w:r>
      <w:rPr>
        <w:rFonts w:ascii="Arial" w:cs="Arial" w:eastAsia="Arial" w:hAnsi="Arial"/>
        <w:b/>
        <w:bCs/>
        <w:color w:val="1A237E"/>
        <w:sz w:val="18"/>
        <w:szCs w:val="18"/>
      </w:rPr>
      <w:t xml:space="preserve">SETU SHG OS  |  Business Requirements Document (BRD)</w:t>
    </w:r>
    <w:r>
      <w:rPr>
        <w:rFonts w:ascii="Arial" w:cs="Arial" w:eastAsia="Arial" w:hAnsi="Arial"/>
        <w:color w:val="888888"/>
        <w:sz w:val="16"/>
        <w:szCs w:val="16"/>
      </w:rPr>
      <w:t xml:space="preserve">        CONFIDENTIAL  |  Version 1.0  |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237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2026-06-01T04:27:30.135Z</dcterms:created>
  <dcterms:modified xsi:type="dcterms:W3CDTF">2026-06-01T04:27:30.135Z</dcterms:modified>
</cp:coreProperties>
</file>

<file path=docProps/custom.xml><?xml version="1.0" encoding="utf-8"?>
<Properties xmlns="http://schemas.openxmlformats.org/officeDocument/2006/custom-properties" xmlns:vt="http://schemas.openxmlformats.org/officeDocument/2006/docPropsVTypes"/>
</file>