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100" w:before="200"/>
        <w:jc w:val="center"/>
      </w:pPr>
      <w:r>
        <w:rPr>
          <w:rFonts w:ascii="Arial" w:cs="Arial" w:eastAsia="Arial" w:hAnsi="Arial"/>
          <w:b/>
          <w:bCs/>
          <w:color w:val="1A5276"/>
          <w:sz w:val="72"/>
          <w:szCs w:val="72"/>
        </w:rPr>
        <w:t xml:space="preserve">SETU SHG OS</w:t>
      </w:r>
    </w:p>
    <w:p>
      <w:pPr>
        <w:spacing w:after="200" w:before="100"/>
        <w:jc w:val="center"/>
      </w:pPr>
      <w:r>
        <w:rPr>
          <w:rFonts w:ascii="Arial" w:cs="Arial" w:eastAsia="Arial" w:hAnsi="Arial"/>
          <w:i/>
          <w:iCs/>
          <w:color w:val="2E86C1"/>
          <w:sz w:val="36"/>
          <w:szCs w:val="36"/>
        </w:rPr>
        <w:t xml:space="preserve">India's Digital Operating System for Self-Help Groups</w:t>
      </w:r>
    </w:p>
    <w:p>
      <w:pPr>
        <w:shd w:fill="1A5276" w:val="clear"/>
        <w:spacing w:after="200" w:before="200"/>
        <w:jc w:val="center"/>
      </w:pPr>
      <w:r>
        <w:rPr>
          <w:rFonts w:ascii="Arial" w:cs="Arial" w:eastAsia="Arial" w:hAnsi="Arial"/>
          <w:b/>
          <w:bCs/>
          <w:color w:val="FFFFFF"/>
          <w:sz w:val="40"/>
          <w:szCs w:val="40"/>
        </w:rPr>
        <w:t xml:space="preserve">PRODUCT REQUIREMENTS DOCUMENT (PRD)</w:t>
      </w:r>
    </w:p>
    <w:p>
      <w:pPr>
        <w:spacing w:after="0" w:before="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June 2025</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Classification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Confidential</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A5276"/>
                <w:sz w:val="20"/>
                <w:szCs w:val="20"/>
              </w:rPr>
              <w:t xml:space="preserve">Document Type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PRD</w:t>
            </w:r>
          </w:p>
        </w:tc>
      </w:tr>
    </w:tbl>
    <w:p>
      <w:pPr>
        <w:spacing w:after="0" w:before="200"/>
      </w:pPr>
      <w:r>
        <w:t xml:space="preserve"/>
      </w:r>
    </w:p>
    <w:p>
      <w:pPr>
        <w:jc w:val="center"/>
      </w:pPr>
      <w:r>
        <w:rPr>
          <w:rFonts w:ascii="Arial" w:cs="Arial" w:eastAsia="Arial" w:hAnsi="Arial"/>
          <w:i/>
          <w:iCs/>
          <w:color w:val="666666"/>
          <w:sz w:val="20"/>
          <w:szCs w:val="20"/>
        </w:rPr>
        <w:t xml:space="preserve">Prepared for: Investors | Incubators | Government Grants | Hackathons</w:t>
      </w:r>
    </w:p>
    <w:p>
      <w:r>
        <w:br w:type="page"/>
      </w:r>
    </w:p>
    <w:p>
      <w:pPr>
        <w:pStyle w:val="Heading1"/>
        <w:shd w:fill="1A5276" w:val="clear"/>
        <w:spacing w:after="200" w:before="400"/>
        <w:ind w:left="200" w:right="200"/>
      </w:pPr>
      <w:r>
        <w:rPr>
          <w:rFonts w:ascii="Arial" w:cs="Arial" w:eastAsia="Arial" w:hAnsi="Arial"/>
          <w:b/>
          <w:bCs/>
          <w:color w:val="FFFFFF"/>
          <w:sz w:val="36"/>
          <w:szCs w:val="36"/>
        </w:rPr>
        <w:t xml:space="preserve">1. EXECUTIVE SUMMARY &amp; PRODUCT VISION</w:t>
      </w:r>
    </w:p>
    <w:p>
      <w:pPr>
        <w:spacing w:after="0" w:before="100"/>
      </w:pPr>
      <w:r>
        <w:t xml:space="preserve"/>
      </w:r>
    </w:p>
    <w:p>
      <w:pPr>
        <w:spacing w:after="80" w:before="80"/>
      </w:pPr>
      <w:r>
        <w:rPr>
          <w:rFonts w:ascii="Arial" w:cs="Arial" w:eastAsia="Arial" w:hAnsi="Arial"/>
          <w:color w:val="1C2833"/>
          <w:sz w:val="22"/>
          <w:szCs w:val="22"/>
        </w:rPr>
        <w:t xml:space="preserve">Setu SHG OS is India's first and most comprehensive digital operating system designed exclusively for the 8.5+ million Self-Help Groups (SHGs) across India, collectively representing over 90 million women members. The platform unifies five critical pillars — Financial Management, Commerce &amp; Marketplace, Learning &amp; Skill Development, Governance &amp; Compliance, and AI-Powered Business Intelligence — into a single, offline-capable, multilingual mobile-first platform.</w:t>
      </w:r>
    </w:p>
    <w:p>
      <w:pPr>
        <w:spacing w:after="0" w:before="100"/>
      </w:pPr>
      <w:r>
        <w:t xml:space="preserve"/>
      </w:r>
    </w:p>
    <w:p>
      <w:pPr>
        <w:spacing w:after="80" w:before="80"/>
      </w:pPr>
      <w:r>
        <w:rPr>
          <w:rFonts w:ascii="Arial" w:cs="Arial" w:eastAsia="Arial" w:hAnsi="Arial"/>
          <w:color w:val="1C2833"/>
          <w:sz w:val="22"/>
          <w:szCs w:val="22"/>
        </w:rPr>
        <w:t xml:space="preserve">The core vision is to eliminate the systemic barriers that prevent India's SHG women from accessing formal financial systems, national markets, and government-backed opportunities. By digitising the SHG ecosystem end-to-end, Setu SHG OS creates a verifiable financial identity for every member, enabling formal credit access, and builds economic bridges between rural producers and urban consumers.</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1.1 Vision Statement</w:t>
      </w:r>
    </w:p>
    <w:p>
      <w:pPr>
        <w:spacing w:after="80" w:before="80"/>
      </w:pPr>
      <w:r>
        <w:rPr>
          <w:rFonts w:ascii="Arial" w:cs="Arial" w:eastAsia="Arial" w:hAnsi="Arial"/>
          <w:color w:val="1C2833"/>
          <w:sz w:val="22"/>
          <w:szCs w:val="22"/>
        </w:rPr>
        <w:t xml:space="preserve">"To empower every SHG woman in India with digital-first tools that transform grassroots entrepreneurship into scalable, credit-worthy, market-connected businesses — building a ₹5 Lakh Crore SHG economy by 2030."</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1.2 Mission Statement</w:t>
      </w:r>
    </w:p>
    <w:p>
      <w:pPr>
        <w:spacing w:after="80" w:before="80"/>
      </w:pPr>
      <w:r>
        <w:rPr>
          <w:rFonts w:ascii="Arial" w:cs="Arial" w:eastAsia="Arial" w:hAnsi="Arial"/>
          <w:color w:val="1C2833"/>
          <w:sz w:val="22"/>
          <w:szCs w:val="22"/>
        </w:rPr>
        <w:t xml:space="preserve">Provide a single unified platform that manages SHG finances, facilitates loans, opens marketplace access, delivers skills training, connects to government schemes, and uses AI to guide every member toward sustainable livelihood outcomes.</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1.3 Product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63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Financial 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Complete digital ledger: savings, loans, repayments, passbooks, credit scoring</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Commerce 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B2C and B2B marketplace for SHG products with logistics and payments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Learning 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Multilingual academy for entrepreneurship, financial literacy, digital skills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Governance 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Attendance, meeting minutes, leadership management, compliance tracking</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AI Copilot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Business planning, pricing intelligence, scheme matching, voice assistant</w:t>
            </w:r>
          </w:p>
        </w:tc>
      </w:tr>
    </w:tbl>
    <w:p>
      <w:pPr>
        <w:spacing w:after="0" w:before="100"/>
      </w:pPr>
      <w:r>
        <w:t xml:space="preserve"/>
      </w:r>
    </w:p>
    <w:p>
      <w:pPr>
        <w:pStyle w:val="Heading3"/>
        <w:spacing w:after="100" w:before="200"/>
      </w:pPr>
      <w:r>
        <w:rPr>
          <w:rFonts w:ascii="Arial" w:cs="Arial" w:eastAsia="Arial" w:hAnsi="Arial"/>
          <w:b/>
          <w:bCs/>
          <w:color w:val="2E86C1"/>
          <w:sz w:val="24"/>
          <w:szCs w:val="24"/>
        </w:rPr>
        <w:t xml:space="preserve">1.4 Strategic Positioning</w:t>
      </w:r>
    </w:p>
    <w:p>
      <w:pPr>
        <w:spacing w:after="80" w:before="80"/>
      </w:pPr>
      <w:r>
        <w:rPr>
          <w:rFonts w:ascii="Arial" w:cs="Arial" w:eastAsia="Arial" w:hAnsi="Arial"/>
          <w:color w:val="1C2833"/>
          <w:sz w:val="22"/>
          <w:szCs w:val="22"/>
        </w:rPr>
        <w:t xml:space="preserve">Setu SHG OS positions itself as the "Shopify + Zoho + Coursera" for India's SHG ecosystem — while Shopify powers global merchants, Zoho powers businesses, and Coursera powers learners, Setu SHG OS powers the entire SHG economy end-to-end within a single platform specifically designed for low-literacy, low-connectivity, vernacular-language rural users.</w:t>
      </w:r>
    </w:p>
    <w:p>
      <w:r>
        <w:br w:type="page"/>
      </w:r>
    </w:p>
    <w:p>
      <w:pPr>
        <w:pStyle w:val="Heading1"/>
        <w:shd w:fill="1A5276" w:val="clear"/>
        <w:spacing w:after="200" w:before="400"/>
        <w:ind w:left="200" w:right="200"/>
      </w:pPr>
      <w:r>
        <w:rPr>
          <w:rFonts w:ascii="Arial" w:cs="Arial" w:eastAsia="Arial" w:hAnsi="Arial"/>
          <w:b/>
          <w:bCs/>
          <w:color w:val="FFFFFF"/>
          <w:sz w:val="36"/>
          <w:szCs w:val="36"/>
        </w:rPr>
        <w:t xml:space="preserve">2. PROBLEM STATEMENT</w:t>
      </w:r>
    </w:p>
    <w:p>
      <w:pPr>
        <w:spacing w:after="0" w:before="100"/>
      </w:pPr>
      <w:r>
        <w:t xml:space="preserve"/>
      </w:r>
    </w:p>
    <w:p>
      <w:pPr>
        <w:spacing w:after="80" w:before="80"/>
      </w:pPr>
      <w:r>
        <w:rPr>
          <w:rFonts w:ascii="Arial" w:cs="Arial" w:eastAsia="Arial" w:hAnsi="Arial"/>
          <w:color w:val="1C2833"/>
          <w:sz w:val="22"/>
          <w:szCs w:val="22"/>
        </w:rPr>
        <w:t xml:space="preserve">India's 8.5 million SHGs represent one of the world's most powerful grassroots economic networks. Yet, they remain largely disconnected from formal financial systems, digital markets, and government opportunities due to multiple systemic failures:</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2.1 Financial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Problem Area</w:t>
            </w:r>
          </w:p>
        </w:tc>
        <w:tc>
          <w:tcPr>
            <w:tcW w:type="dxa" w:w="6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Current Reality &amp; Impact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Bookkeeping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95% of SHGs maintain paper registers that are error-prone, easily lost, and cannot be audited. Leads to disputes, loss of funds, and inability to prove creditworthiness.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Loan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Only 18% of SHGs have accessed formal bank credit. Banks lack digitised repayment histories to assess creditworthiness of groups.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Repayment 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Internal loan repayments among members are tracked manually, leading to defaults, group conflicts, and fund mismanagement.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Savings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Member savings pooling lacks transparency. Leaders hold disproportionate control, creating trust deficits within groups.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No Credit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SHGs have no standardised creditworthiness score despite years of consistent saving and internal lending history.</w:t>
            </w:r>
          </w:p>
        </w:tc>
      </w:tr>
    </w:tbl>
    <w:p>
      <w:pPr>
        <w:spacing w:after="0" w:before="100"/>
      </w:pPr>
      <w:r>
        <w:t xml:space="preserve"/>
      </w:r>
    </w:p>
    <w:p>
      <w:pPr>
        <w:pStyle w:val="Heading3"/>
        <w:spacing w:after="100" w:before="200"/>
      </w:pPr>
      <w:r>
        <w:rPr>
          <w:rFonts w:ascii="Arial" w:cs="Arial" w:eastAsia="Arial" w:hAnsi="Arial"/>
          <w:b/>
          <w:bCs/>
          <w:color w:val="2E86C1"/>
          <w:sz w:val="24"/>
          <w:szCs w:val="24"/>
        </w:rPr>
        <w:t xml:space="preserve">2.2 Market Access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Problem Area</w:t>
            </w:r>
          </w:p>
        </w:tc>
        <w:tc>
          <w:tcPr>
            <w:tcW w:type="dxa" w:w="6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Current Reality &amp; Impact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Middlemen Dependency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70% of SHG products are sold through exploitative intermediaries who capture 40–60% of profit margin, severely limiting SHG income.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Limited Customer Reach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SHG products rarely transcend their village or district. No digital storefront, no national discoverability, no D2C capability.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Lack of Branding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SHG products have no packaging standards, brand identity, or quality certifications that urban buyers expect, reducing premium pricing potential.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No Inventory Systems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SHGs cannot track stock, predict demand, or manage bulk orders — limiting ability to fulfill B2B procurement opportunities from corporates and governments.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Logistics Gap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No integrated logistics solution. SHGs cannot ship nationally without complex manual arrangements with multiple courier partners.</w:t>
            </w:r>
          </w:p>
        </w:tc>
      </w:tr>
    </w:tbl>
    <w:p>
      <w:pPr>
        <w:spacing w:after="0" w:before="100"/>
      </w:pPr>
      <w:r>
        <w:t xml:space="preserve"/>
      </w:r>
    </w:p>
    <w:p>
      <w:pPr>
        <w:pStyle w:val="Heading3"/>
        <w:spacing w:after="100" w:before="200"/>
      </w:pPr>
      <w:r>
        <w:rPr>
          <w:rFonts w:ascii="Arial" w:cs="Arial" w:eastAsia="Arial" w:hAnsi="Arial"/>
          <w:b/>
          <w:bCs/>
          <w:color w:val="2E86C1"/>
          <w:sz w:val="24"/>
          <w:szCs w:val="24"/>
        </w:rPr>
        <w:t xml:space="preserve">2.3 Governance &amp; Transparency Challenges</w:t>
      </w:r>
    </w:p>
    <w:p>
      <w:pPr>
        <w:pStyle w:val="ListParagraph"/>
        <w:numPr>
          <w:ilvl w:val="0"/>
          <w:numId w:val="2"/>
        </w:numPr>
        <w:spacing w:after="60" w:before="60"/>
      </w:pPr>
      <w:r>
        <w:rPr>
          <w:rFonts w:ascii="Arial" w:cs="Arial" w:eastAsia="Arial" w:hAnsi="Arial"/>
          <w:color w:val="1C2833"/>
          <w:sz w:val="22"/>
          <w:szCs w:val="22"/>
        </w:rPr>
        <w:t xml:space="preserve">Group attendance is tracked on paper — no historical record, no accountability mechanism</w:t>
      </w:r>
    </w:p>
    <w:p>
      <w:pPr>
        <w:pStyle w:val="ListParagraph"/>
        <w:numPr>
          <w:ilvl w:val="0"/>
          <w:numId w:val="2"/>
        </w:numPr>
        <w:spacing w:after="60" w:before="60"/>
      </w:pPr>
      <w:r>
        <w:rPr>
          <w:rFonts w:ascii="Arial" w:cs="Arial" w:eastAsia="Arial" w:hAnsi="Arial"/>
          <w:color w:val="1C2833"/>
          <w:sz w:val="22"/>
          <w:szCs w:val="22"/>
        </w:rPr>
        <w:t xml:space="preserve">Leadership conflicts arise from non-transparent decision-making and fund handling</w:t>
      </w:r>
    </w:p>
    <w:p>
      <w:pPr>
        <w:pStyle w:val="ListParagraph"/>
        <w:numPr>
          <w:ilvl w:val="0"/>
          <w:numId w:val="2"/>
        </w:numPr>
        <w:spacing w:after="60" w:before="60"/>
      </w:pPr>
      <w:r>
        <w:rPr>
          <w:rFonts w:ascii="Arial" w:cs="Arial" w:eastAsia="Arial" w:hAnsi="Arial"/>
          <w:color w:val="1C2833"/>
          <w:sz w:val="22"/>
          <w:szCs w:val="22"/>
        </w:rPr>
        <w:t xml:space="preserve">Meeting minutes are handwritten and inaccessible to external stakeholders</w:t>
      </w:r>
    </w:p>
    <w:p>
      <w:pPr>
        <w:pStyle w:val="ListParagraph"/>
        <w:numPr>
          <w:ilvl w:val="0"/>
          <w:numId w:val="2"/>
        </w:numPr>
        <w:spacing w:after="60" w:before="60"/>
      </w:pPr>
      <w:r>
        <w:rPr>
          <w:rFonts w:ascii="Arial" w:cs="Arial" w:eastAsia="Arial" w:hAnsi="Arial"/>
          <w:color w:val="1C2833"/>
          <w:sz w:val="22"/>
          <w:szCs w:val="22"/>
        </w:rPr>
        <w:t xml:space="preserve">No compliance tracking for NABARD, government, or NGO reporting requirements</w:t>
      </w:r>
    </w:p>
    <w:p>
      <w:pPr>
        <w:pStyle w:val="ListParagraph"/>
        <w:numPr>
          <w:ilvl w:val="0"/>
          <w:numId w:val="2"/>
        </w:numPr>
        <w:spacing w:after="60" w:before="60"/>
      </w:pPr>
      <w:r>
        <w:rPr>
          <w:rFonts w:ascii="Arial" w:cs="Arial" w:eastAsia="Arial" w:hAnsi="Arial"/>
          <w:color w:val="1C2833"/>
          <w:sz w:val="22"/>
          <w:szCs w:val="22"/>
        </w:rPr>
        <w:t xml:space="preserve">No standardised onboarding process for new members</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2.4 Skills &amp; Capacity Building Challenges</w:t>
      </w:r>
    </w:p>
    <w:p>
      <w:pPr>
        <w:pStyle w:val="ListParagraph"/>
        <w:numPr>
          <w:ilvl w:val="0"/>
          <w:numId w:val="2"/>
        </w:numPr>
        <w:spacing w:after="60" w:before="60"/>
      </w:pPr>
      <w:r>
        <w:rPr>
          <w:rFonts w:ascii="Arial" w:cs="Arial" w:eastAsia="Arial" w:hAnsi="Arial"/>
          <w:color w:val="1C2833"/>
          <w:sz w:val="22"/>
          <w:szCs w:val="22"/>
        </w:rPr>
        <w:t xml:space="preserve">Low financial literacy: most SHG members cannot read a balance sheet or understand interest calculations</w:t>
      </w:r>
    </w:p>
    <w:p>
      <w:pPr>
        <w:pStyle w:val="ListParagraph"/>
        <w:numPr>
          <w:ilvl w:val="0"/>
          <w:numId w:val="2"/>
        </w:numPr>
        <w:spacing w:after="60" w:before="60"/>
      </w:pPr>
      <w:r>
        <w:rPr>
          <w:rFonts w:ascii="Arial" w:cs="Arial" w:eastAsia="Arial" w:hAnsi="Arial"/>
          <w:color w:val="1C2833"/>
          <w:sz w:val="22"/>
          <w:szCs w:val="22"/>
        </w:rPr>
        <w:t xml:space="preserve">Limited digital literacy: inability to use smartphones for financial transactions</w:t>
      </w:r>
    </w:p>
    <w:p>
      <w:pPr>
        <w:pStyle w:val="ListParagraph"/>
        <w:numPr>
          <w:ilvl w:val="0"/>
          <w:numId w:val="2"/>
        </w:numPr>
        <w:spacing w:after="60" w:before="60"/>
      </w:pPr>
      <w:r>
        <w:rPr>
          <w:rFonts w:ascii="Arial" w:cs="Arial" w:eastAsia="Arial" w:hAnsi="Arial"/>
          <w:color w:val="1C2833"/>
          <w:sz w:val="22"/>
          <w:szCs w:val="22"/>
        </w:rPr>
        <w:t xml:space="preserve">No access to entrepreneurship education in regional languages</w:t>
      </w:r>
    </w:p>
    <w:p>
      <w:pPr>
        <w:pStyle w:val="ListParagraph"/>
        <w:numPr>
          <w:ilvl w:val="0"/>
          <w:numId w:val="2"/>
        </w:numPr>
        <w:spacing w:after="60" w:before="60"/>
      </w:pPr>
      <w:r>
        <w:rPr>
          <w:rFonts w:ascii="Arial" w:cs="Arial" w:eastAsia="Arial" w:hAnsi="Arial"/>
          <w:color w:val="1C2833"/>
          <w:sz w:val="22"/>
          <w:szCs w:val="22"/>
        </w:rPr>
        <w:t xml:space="preserve">Training programs by NGOs and government are one-time, non-persistent, and not digitally accessible</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2.5 Government Scheme Access Challenges</w:t>
      </w:r>
    </w:p>
    <w:p>
      <w:pPr>
        <w:pStyle w:val="ListParagraph"/>
        <w:numPr>
          <w:ilvl w:val="0"/>
          <w:numId w:val="2"/>
        </w:numPr>
        <w:spacing w:after="60" w:before="60"/>
      </w:pPr>
      <w:r>
        <w:rPr>
          <w:rFonts w:ascii="Arial" w:cs="Arial" w:eastAsia="Arial" w:hAnsi="Arial"/>
          <w:color w:val="1C2833"/>
          <w:sz w:val="22"/>
          <w:szCs w:val="22"/>
        </w:rPr>
        <w:t xml:space="preserve">India has 200+ government schemes for SHGs at central and state levels. Over 60% of eligible SHGs never apply due to awareness gaps</w:t>
      </w:r>
    </w:p>
    <w:p>
      <w:pPr>
        <w:pStyle w:val="ListParagraph"/>
        <w:numPr>
          <w:ilvl w:val="0"/>
          <w:numId w:val="2"/>
        </w:numPr>
        <w:spacing w:after="60" w:before="60"/>
      </w:pPr>
      <w:r>
        <w:rPr>
          <w:rFonts w:ascii="Arial" w:cs="Arial" w:eastAsia="Arial" w:hAnsi="Arial"/>
          <w:color w:val="1C2833"/>
          <w:sz w:val="22"/>
          <w:szCs w:val="22"/>
        </w:rPr>
        <w:t xml:space="preserve">Complex documentation requirements create barriers — Aadhaar, PAN, bank account linkages, caste certificates, land records</w:t>
      </w:r>
    </w:p>
    <w:p>
      <w:pPr>
        <w:pStyle w:val="ListParagraph"/>
        <w:numPr>
          <w:ilvl w:val="0"/>
          <w:numId w:val="2"/>
        </w:numPr>
        <w:spacing w:after="60" w:before="60"/>
      </w:pPr>
      <w:r>
        <w:rPr>
          <w:rFonts w:ascii="Arial" w:cs="Arial" w:eastAsia="Arial" w:hAnsi="Arial"/>
          <w:color w:val="1C2833"/>
          <w:sz w:val="22"/>
          <w:szCs w:val="22"/>
        </w:rPr>
        <w:t xml:space="preserve">No single platform helps SHGs check eligibility, prepare documents, and track application status</w:t>
      </w:r>
    </w:p>
    <w:p>
      <w:pPr>
        <w:pStyle w:val="ListParagraph"/>
        <w:numPr>
          <w:ilvl w:val="0"/>
          <w:numId w:val="2"/>
        </w:numPr>
        <w:spacing w:after="60" w:before="60"/>
      </w:pPr>
      <w:r>
        <w:rPr>
          <w:rFonts w:ascii="Arial" w:cs="Arial" w:eastAsia="Arial" w:hAnsi="Arial"/>
          <w:color w:val="1C2833"/>
          <w:sz w:val="22"/>
          <w:szCs w:val="22"/>
        </w:rPr>
        <w:t xml:space="preserve">Language barriers prevent non-Hindi, non-English speaking members from accessing online scheme portals</w:t>
      </w:r>
    </w:p>
    <w:p>
      <w:r>
        <w:br w:type="page"/>
      </w:r>
    </w:p>
    <w:p>
      <w:pPr>
        <w:pStyle w:val="Heading1"/>
        <w:shd w:fill="1A5276" w:val="clear"/>
        <w:spacing w:after="200" w:before="400"/>
        <w:ind w:left="200" w:right="200"/>
      </w:pPr>
      <w:r>
        <w:rPr>
          <w:rFonts w:ascii="Arial" w:cs="Arial" w:eastAsia="Arial" w:hAnsi="Arial"/>
          <w:b/>
          <w:bCs/>
          <w:color w:val="FFFFFF"/>
          <w:sz w:val="36"/>
          <w:szCs w:val="36"/>
        </w:rPr>
        <w:t xml:space="preserve">3. TARGET USERS &amp; PERSONAS</w:t>
      </w:r>
    </w:p>
    <w:p>
      <w:pPr>
        <w:spacing w:after="0" w:before="100"/>
      </w:pPr>
      <w:r>
        <w:t xml:space="preserve"/>
      </w:r>
    </w:p>
    <w:p>
      <w:pPr>
        <w:spacing w:after="80" w:before="80"/>
      </w:pPr>
      <w:r>
        <w:rPr>
          <w:rFonts w:ascii="Arial" w:cs="Arial" w:eastAsia="Arial" w:hAnsi="Arial"/>
          <w:color w:val="1C2833"/>
          <w:sz w:val="22"/>
          <w:szCs w:val="22"/>
        </w:rPr>
        <w:t xml:space="preserve">Setu SHG OS serves a layered ecosystem of primary users who directly interact with the platform and secondary stakeholders who derive institutional value from aggregated platform data and tools.</w:t>
      </w:r>
    </w:p>
    <w:p>
      <w:pPr>
        <w:spacing w:after="0" w:before="100"/>
      </w:pPr>
      <w:r>
        <w:t xml:space="preserve"/>
      </w:r>
    </w:p>
    <w:p>
      <w:pPr>
        <w:pStyle w:val="Heading2"/>
        <w:pBdr>
          <w:bottom w:val="single" w:color="2E86C1" w:sz="4"/>
        </w:pBdr>
        <w:spacing w:after="150" w:before="300"/>
      </w:pPr>
      <w:r>
        <w:rPr>
          <w:rFonts w:ascii="Arial" w:cs="Arial" w:eastAsia="Arial" w:hAnsi="Arial"/>
          <w:b/>
          <w:bCs/>
          <w:color w:val="1A5276"/>
          <w:sz w:val="28"/>
          <w:szCs w:val="28"/>
        </w:rPr>
        <w:t xml:space="preserve">3.1 Primary Users</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Persona 1: Savitri — The SHG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7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28–45 years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Rural / Semi-urban India (UP, Bihar, MP, Odisha, Tamil Nadu)</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Education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Class 5–10, limited English literacy</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Phone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Android smartphone (entry-level, 2G/4G)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Language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Hindi, Tamil, Telugu, Bengali, Odia, Marathi</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Income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₹3,000–₹12,000/month household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Pain Points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Cannot track group savings, no loan access, sells via middlemen, no business skills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Goals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Save consistently, get a loan for her agarbatti business, sell online, learn digital payments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Success Metrics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Monthly savings target met, loan approved within 2 weeks, first online order shipped</w:t>
            </w:r>
          </w:p>
        </w:tc>
      </w:tr>
    </w:tbl>
    <w:p>
      <w:pPr>
        <w:spacing w:after="0" w:before="100"/>
      </w:pPr>
      <w:r>
        <w:t xml:space="preserve"/>
      </w:r>
    </w:p>
    <w:p>
      <w:pPr>
        <w:pStyle w:val="Heading3"/>
        <w:spacing w:after="100" w:before="200"/>
      </w:pPr>
      <w:r>
        <w:rPr>
          <w:rFonts w:ascii="Arial" w:cs="Arial" w:eastAsia="Arial" w:hAnsi="Arial"/>
          <w:b/>
          <w:bCs/>
          <w:color w:val="2E86C1"/>
          <w:sz w:val="24"/>
          <w:szCs w:val="24"/>
        </w:rPr>
        <w:t xml:space="preserve">Persona 2: Rekha — The SHG President / Secretary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7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Role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Group leader managing 10–20 SHG members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Responsibilities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Record keeping, loan approvals, meeting scheduling, bank coordination</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Challenges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Manual registers, member disputes, loan default tracking, reporting to NGO/bank</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Goals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Digital passbooks, automated reminders, instant reports for auditors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Feature Priority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Dashboard with group health score, automated attendance, loan ledger, export to Excel/PDF</w:t>
            </w:r>
          </w:p>
        </w:tc>
      </w:tr>
    </w:tbl>
    <w:p>
      <w:pPr>
        <w:spacing w:after="0" w:before="100"/>
      </w:pPr>
      <w:r>
        <w:t xml:space="preserve"/>
      </w:r>
    </w:p>
    <w:p>
      <w:pPr>
        <w:pStyle w:val="Heading2"/>
        <w:pBdr>
          <w:bottom w:val="single" w:color="2E86C1" w:sz="4"/>
        </w:pBdr>
        <w:spacing w:after="150" w:before="300"/>
      </w:pPr>
      <w:r>
        <w:rPr>
          <w:rFonts w:ascii="Arial" w:cs="Arial" w:eastAsia="Arial" w:hAnsi="Arial"/>
          <w:b/>
          <w:bCs/>
          <w:color w:val="1A5276"/>
          <w:sz w:val="28"/>
          <w:szCs w:val="28"/>
        </w:rPr>
        <w:t xml:space="preserve">3.2 Secondary Users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Platform Need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Commercial Banks (SBI, UCO, Bandhan)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Credit disbursement partners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SHG Credit Score API, loan history export, automated disbursement trigger</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MFIs (Microfinance Institutions)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Loan partners for nano-credit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Portfolio monitoring, repayment dashboards, risk flags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NGOs &amp; SHG Federations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Implementation &amp; monitoring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Multi-SHG dashboard, impact metrics, attendance reports, program tracking</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Government (MoRD, DAY-NRLM, State NRLMs)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Policy &amp; funding bodies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District-level analytics, scheme uptake data, SHG formation compliance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Corporate Buyers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B2B procurement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Verified product catalog, bulk order placement, quality certification status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Individual Consumers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B2C marketplace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Searchable SHG product store, secure checkout, delivery tracking</w:t>
            </w:r>
          </w:p>
        </w:tc>
      </w:tr>
    </w:tbl>
    <w:p>
      <w:r>
        <w:br w:type="page"/>
      </w:r>
    </w:p>
    <w:p>
      <w:pPr>
        <w:pStyle w:val="Heading1"/>
        <w:shd w:fill="1A5276" w:val="clear"/>
        <w:spacing w:after="200" w:before="400"/>
        <w:ind w:left="200" w:right="200"/>
      </w:pPr>
      <w:r>
        <w:rPr>
          <w:rFonts w:ascii="Arial" w:cs="Arial" w:eastAsia="Arial" w:hAnsi="Arial"/>
          <w:b/>
          <w:bCs/>
          <w:color w:val="FFFFFF"/>
          <w:sz w:val="36"/>
          <w:szCs w:val="36"/>
        </w:rPr>
        <w:t xml:space="preserve">4. PRODUCT MODULES — DETAILED SPECIFICATIONS</w:t>
      </w:r>
    </w:p>
    <w:p>
      <w:pPr>
        <w:spacing w:after="0" w:before="100"/>
      </w:pPr>
      <w:r>
        <w:t xml:space="preserve"/>
      </w:r>
    </w:p>
    <w:p>
      <w:pPr>
        <w:spacing w:after="80" w:before="80"/>
      </w:pPr>
      <w:r>
        <w:rPr>
          <w:rFonts w:ascii="Arial" w:cs="Arial" w:eastAsia="Arial" w:hAnsi="Arial"/>
          <w:color w:val="1C2833"/>
          <w:sz w:val="22"/>
          <w:szCs w:val="22"/>
        </w:rPr>
        <w:t xml:space="preserve">Setu SHG OS comprises 7 tightly integrated core modules. Each module functions independently but is designed to share data, users, and workflows with all other modules through a unified API layer.</w:t>
      </w:r>
    </w:p>
    <w:p>
      <w:pPr>
        <w:spacing w:after="0" w:before="100"/>
      </w:pPr>
      <w:r>
        <w:t xml:space="preserve"/>
      </w:r>
    </w:p>
    <w:p>
      <w:pPr>
        <w:pStyle w:val="Heading2"/>
        <w:pBdr>
          <w:bottom w:val="single" w:color="2E86C1" w:sz="4"/>
        </w:pBdr>
        <w:spacing w:after="150" w:before="300"/>
      </w:pPr>
      <w:r>
        <w:rPr>
          <w:rFonts w:ascii="Arial" w:cs="Arial" w:eastAsia="Arial" w:hAnsi="Arial"/>
          <w:b/>
          <w:bCs/>
          <w:color w:val="1A5276"/>
          <w:sz w:val="28"/>
          <w:szCs w:val="28"/>
        </w:rPr>
        <w:t xml:space="preserve">Module 1: SHG Management &amp; Governance</w:t>
      </w:r>
    </w:p>
    <w:p>
      <w:pPr>
        <w:shd w:fill="D6EAF8" w:val="clear"/>
        <w:spacing w:after="100" w:before="200"/>
        <w:ind w:left="200" w:right="200"/>
      </w:pPr>
      <w:r>
        <w:rPr>
          <w:rFonts w:ascii="Arial" w:cs="Arial" w:eastAsia="Arial" w:hAnsi="Arial"/>
          <w:b/>
          <w:bCs/>
          <w:color w:val="1A5276"/>
          <w:sz w:val="22"/>
          <w:szCs w:val="22"/>
        </w:rPr>
        <w:t xml:space="preserve">Core Purpose: Digitise the entire SHG operational lifecycle from formation to compliance reporting</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4.1.1 Member Onboarding</w:t>
      </w:r>
    </w:p>
    <w:p>
      <w:pPr>
        <w:pStyle w:val="ListParagraph"/>
        <w:numPr>
          <w:ilvl w:val="0"/>
          <w:numId w:val="2"/>
        </w:numPr>
        <w:spacing w:after="60" w:before="60"/>
      </w:pPr>
      <w:r>
        <w:rPr>
          <w:rFonts w:ascii="Arial" w:cs="Arial" w:eastAsia="Arial" w:hAnsi="Arial"/>
          <w:color w:val="1C2833"/>
          <w:sz w:val="22"/>
          <w:szCs w:val="22"/>
        </w:rPr>
        <w:t xml:space="preserve">Digital KYC: Aadhaar OTP-based member verification integrated with UIDAI</w:t>
      </w:r>
    </w:p>
    <w:p>
      <w:pPr>
        <w:pStyle w:val="ListParagraph"/>
        <w:numPr>
          <w:ilvl w:val="0"/>
          <w:numId w:val="2"/>
        </w:numPr>
        <w:spacing w:after="60" w:before="60"/>
      </w:pPr>
      <w:r>
        <w:rPr>
          <w:rFonts w:ascii="Arial" w:cs="Arial" w:eastAsia="Arial" w:hAnsi="Arial"/>
          <w:color w:val="1C2833"/>
          <w:sz w:val="22"/>
          <w:szCs w:val="22"/>
        </w:rPr>
        <w:t xml:space="preserve">Profile creation: Name, photo, Aadhaar, bank account, phone, occupation, address</w:t>
      </w:r>
    </w:p>
    <w:p>
      <w:pPr>
        <w:pStyle w:val="ListParagraph"/>
        <w:numPr>
          <w:ilvl w:val="0"/>
          <w:numId w:val="2"/>
        </w:numPr>
        <w:spacing w:after="60" w:before="60"/>
      </w:pPr>
      <w:r>
        <w:rPr>
          <w:rFonts w:ascii="Arial" w:cs="Arial" w:eastAsia="Arial" w:hAnsi="Arial"/>
          <w:color w:val="1C2833"/>
          <w:sz w:val="22"/>
          <w:szCs w:val="22"/>
        </w:rPr>
        <w:t xml:space="preserve">Group creation: SHG name, formation date, federation linkage, geographic tagging</w:t>
      </w:r>
    </w:p>
    <w:p>
      <w:pPr>
        <w:pStyle w:val="ListParagraph"/>
        <w:numPr>
          <w:ilvl w:val="0"/>
          <w:numId w:val="2"/>
        </w:numPr>
        <w:spacing w:after="60" w:before="60"/>
      </w:pPr>
      <w:r>
        <w:rPr>
          <w:rFonts w:ascii="Arial" w:cs="Arial" w:eastAsia="Arial" w:hAnsi="Arial"/>
          <w:color w:val="1C2833"/>
          <w:sz w:val="22"/>
          <w:szCs w:val="22"/>
        </w:rPr>
        <w:t xml:space="preserve">Role assignment: President, Secretary, Treasurer, Member — with permission levels</w:t>
      </w:r>
    </w:p>
    <w:p>
      <w:pPr>
        <w:pStyle w:val="ListParagraph"/>
        <w:numPr>
          <w:ilvl w:val="0"/>
          <w:numId w:val="2"/>
        </w:numPr>
        <w:spacing w:after="60" w:before="60"/>
      </w:pPr>
      <w:r>
        <w:rPr>
          <w:rFonts w:ascii="Arial" w:cs="Arial" w:eastAsia="Arial" w:hAnsi="Arial"/>
          <w:color w:val="1C2833"/>
          <w:sz w:val="22"/>
          <w:szCs w:val="22"/>
        </w:rPr>
        <w:t xml:space="preserve">Offline onboarding: Form stored locally, synced when connectivity is available</w:t>
      </w:r>
    </w:p>
    <w:p>
      <w:pPr>
        <w:pStyle w:val="ListParagraph"/>
        <w:numPr>
          <w:ilvl w:val="0"/>
          <w:numId w:val="2"/>
        </w:numPr>
        <w:spacing w:after="60" w:before="60"/>
      </w:pPr>
      <w:r>
        <w:rPr>
          <w:rFonts w:ascii="Arial" w:cs="Arial" w:eastAsia="Arial" w:hAnsi="Arial"/>
          <w:color w:val="1C2833"/>
          <w:sz w:val="22"/>
          <w:szCs w:val="22"/>
        </w:rPr>
        <w:t xml:space="preserve">QR Code ID cards: Digital identity card with SHG details and member QR</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4.1.2 Attendance Management</w:t>
      </w:r>
    </w:p>
    <w:p>
      <w:pPr>
        <w:pStyle w:val="ListParagraph"/>
        <w:numPr>
          <w:ilvl w:val="0"/>
          <w:numId w:val="2"/>
        </w:numPr>
        <w:spacing w:after="60" w:before="60"/>
      </w:pPr>
      <w:r>
        <w:rPr>
          <w:rFonts w:ascii="Arial" w:cs="Arial" w:eastAsia="Arial" w:hAnsi="Arial"/>
          <w:color w:val="1C2833"/>
          <w:sz w:val="22"/>
          <w:szCs w:val="22"/>
        </w:rPr>
        <w:t xml:space="preserve">One-tap meeting attendance with timestamp and GPS tagging</w:t>
      </w:r>
    </w:p>
    <w:p>
      <w:pPr>
        <w:pStyle w:val="ListParagraph"/>
        <w:numPr>
          <w:ilvl w:val="0"/>
          <w:numId w:val="2"/>
        </w:numPr>
        <w:spacing w:after="60" w:before="60"/>
      </w:pPr>
      <w:r>
        <w:rPr>
          <w:rFonts w:ascii="Arial" w:cs="Arial" w:eastAsia="Arial" w:hAnsi="Arial"/>
          <w:color w:val="1C2833"/>
          <w:sz w:val="22"/>
          <w:szCs w:val="22"/>
        </w:rPr>
        <w:t xml:space="preserve">Automated SMS/WhatsApp reminders for upcoming meetings (24 hours and 2 hours prior)</w:t>
      </w:r>
    </w:p>
    <w:p>
      <w:pPr>
        <w:pStyle w:val="ListParagraph"/>
        <w:numPr>
          <w:ilvl w:val="0"/>
          <w:numId w:val="2"/>
        </w:numPr>
        <w:spacing w:after="60" w:before="60"/>
      </w:pPr>
      <w:r>
        <w:rPr>
          <w:rFonts w:ascii="Arial" w:cs="Arial" w:eastAsia="Arial" w:hAnsi="Arial"/>
          <w:color w:val="1C2833"/>
          <w:sz w:val="22"/>
          <w:szCs w:val="22"/>
        </w:rPr>
        <w:t xml:space="preserve">Attendance history: Monthly, quarterly, annual attendance percentage per member</w:t>
      </w:r>
    </w:p>
    <w:p>
      <w:pPr>
        <w:pStyle w:val="ListParagraph"/>
        <w:numPr>
          <w:ilvl w:val="0"/>
          <w:numId w:val="2"/>
        </w:numPr>
        <w:spacing w:after="60" w:before="60"/>
      </w:pPr>
      <w:r>
        <w:rPr>
          <w:rFonts w:ascii="Arial" w:cs="Arial" w:eastAsia="Arial" w:hAnsi="Arial"/>
          <w:color w:val="1C2833"/>
          <w:sz w:val="22"/>
          <w:szCs w:val="22"/>
        </w:rPr>
        <w:t xml:space="preserve">Meeting minutes: Voice-to-text transcription of meeting discussions in regional languages</w:t>
      </w:r>
    </w:p>
    <w:p>
      <w:pPr>
        <w:pStyle w:val="ListParagraph"/>
        <w:numPr>
          <w:ilvl w:val="0"/>
          <w:numId w:val="2"/>
        </w:numPr>
        <w:spacing w:after="60" w:before="60"/>
      </w:pPr>
      <w:r>
        <w:rPr>
          <w:rFonts w:ascii="Arial" w:cs="Arial" w:eastAsia="Arial" w:hAnsi="Arial"/>
          <w:color w:val="1C2833"/>
          <w:sz w:val="22"/>
          <w:szCs w:val="22"/>
        </w:rPr>
        <w:t xml:space="preserve">Agenda templates: Pre-built meeting agenda formats for regular and special meetings</w:t>
      </w:r>
    </w:p>
    <w:p>
      <w:pPr>
        <w:pStyle w:val="ListParagraph"/>
        <w:numPr>
          <w:ilvl w:val="0"/>
          <w:numId w:val="2"/>
        </w:numPr>
        <w:spacing w:after="60" w:before="60"/>
      </w:pPr>
      <w:r>
        <w:rPr>
          <w:rFonts w:ascii="Arial" w:cs="Arial" w:eastAsia="Arial" w:hAnsi="Arial"/>
          <w:color w:val="1C2833"/>
          <w:sz w:val="22"/>
          <w:szCs w:val="22"/>
        </w:rPr>
        <w:t xml:space="preserve">Resolution tracking: Action items from meetings tracked with owner and due date</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4.1.3 Savings &amp; Ledger Management</w:t>
      </w:r>
    </w:p>
    <w:p>
      <w:pPr>
        <w:pStyle w:val="ListParagraph"/>
        <w:numPr>
          <w:ilvl w:val="0"/>
          <w:numId w:val="2"/>
        </w:numPr>
        <w:spacing w:after="60" w:before="60"/>
      </w:pPr>
      <w:r>
        <w:rPr>
          <w:rFonts w:ascii="Arial" w:cs="Arial" w:eastAsia="Arial" w:hAnsi="Arial"/>
          <w:color w:val="1C2833"/>
          <w:sz w:val="22"/>
          <w:szCs w:val="22"/>
        </w:rPr>
        <w:t xml:space="preserve">Individual savings contribution recording with date, amount, mode (cash/UPI)</w:t>
      </w:r>
    </w:p>
    <w:p>
      <w:pPr>
        <w:pStyle w:val="ListParagraph"/>
        <w:numPr>
          <w:ilvl w:val="0"/>
          <w:numId w:val="2"/>
        </w:numPr>
        <w:spacing w:after="60" w:before="60"/>
      </w:pPr>
      <w:r>
        <w:rPr>
          <w:rFonts w:ascii="Arial" w:cs="Arial" w:eastAsia="Arial" w:hAnsi="Arial"/>
          <w:color w:val="1C2833"/>
          <w:sz w:val="22"/>
          <w:szCs w:val="22"/>
        </w:rPr>
        <w:t xml:space="preserve">Group corpus tracking: Total savings pool with member-wise breakdown</w:t>
      </w:r>
    </w:p>
    <w:p>
      <w:pPr>
        <w:pStyle w:val="ListParagraph"/>
        <w:numPr>
          <w:ilvl w:val="0"/>
          <w:numId w:val="2"/>
        </w:numPr>
        <w:spacing w:after="60" w:before="60"/>
      </w:pPr>
      <w:r>
        <w:rPr>
          <w:rFonts w:ascii="Arial" w:cs="Arial" w:eastAsia="Arial" w:hAnsi="Arial"/>
          <w:color w:val="1C2833"/>
          <w:sz w:val="22"/>
          <w:szCs w:val="22"/>
        </w:rPr>
        <w:t xml:space="preserve">Digital passbook: Auto-generated statement for each member (monthly/annual)</w:t>
      </w:r>
    </w:p>
    <w:p>
      <w:pPr>
        <w:pStyle w:val="ListParagraph"/>
        <w:numPr>
          <w:ilvl w:val="0"/>
          <w:numId w:val="2"/>
        </w:numPr>
        <w:spacing w:after="60" w:before="60"/>
      </w:pPr>
      <w:r>
        <w:rPr>
          <w:rFonts w:ascii="Arial" w:cs="Arial" w:eastAsia="Arial" w:hAnsi="Arial"/>
          <w:color w:val="1C2833"/>
          <w:sz w:val="22"/>
          <w:szCs w:val="22"/>
        </w:rPr>
        <w:t xml:space="preserve">Savings goal setting: Members can set personal savings targets with progress tracking</w:t>
      </w:r>
    </w:p>
    <w:p>
      <w:pPr>
        <w:pStyle w:val="ListParagraph"/>
        <w:numPr>
          <w:ilvl w:val="0"/>
          <w:numId w:val="2"/>
        </w:numPr>
        <w:spacing w:after="60" w:before="60"/>
      </w:pPr>
      <w:r>
        <w:rPr>
          <w:rFonts w:ascii="Arial" w:cs="Arial" w:eastAsia="Arial" w:hAnsi="Arial"/>
          <w:color w:val="1C2833"/>
          <w:sz w:val="22"/>
          <w:szCs w:val="22"/>
        </w:rPr>
        <w:t xml:space="preserve">Overdue alert system: Automated notification for members who miss savings deadlines</w:t>
      </w:r>
    </w:p>
    <w:p>
      <w:pPr>
        <w:pStyle w:val="ListParagraph"/>
        <w:numPr>
          <w:ilvl w:val="0"/>
          <w:numId w:val="2"/>
        </w:numPr>
        <w:spacing w:after="60" w:before="60"/>
      </w:pPr>
      <w:r>
        <w:rPr>
          <w:rFonts w:ascii="Arial" w:cs="Arial" w:eastAsia="Arial" w:hAnsi="Arial"/>
          <w:color w:val="1C2833"/>
          <w:sz w:val="22"/>
          <w:szCs w:val="22"/>
        </w:rPr>
        <w:t xml:space="preserve">Group health indicators: Savings consistency score, average contribution, trend charts</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4.1.4 Compliance &amp; Reporting</w:t>
      </w:r>
    </w:p>
    <w:p>
      <w:pPr>
        <w:pStyle w:val="ListParagraph"/>
        <w:numPr>
          <w:ilvl w:val="0"/>
          <w:numId w:val="2"/>
        </w:numPr>
        <w:spacing w:after="60" w:before="60"/>
      </w:pPr>
      <w:r>
        <w:rPr>
          <w:rFonts w:ascii="Arial" w:cs="Arial" w:eastAsia="Arial" w:hAnsi="Arial"/>
          <w:color w:val="1C2833"/>
          <w:sz w:val="22"/>
          <w:szCs w:val="22"/>
        </w:rPr>
        <w:t xml:space="preserve">NABARD-format reports: Auto-generated SHG grading reports as per NABARD Category A/B/C/D</w:t>
      </w:r>
    </w:p>
    <w:p>
      <w:pPr>
        <w:pStyle w:val="ListParagraph"/>
        <w:numPr>
          <w:ilvl w:val="0"/>
          <w:numId w:val="2"/>
        </w:numPr>
        <w:spacing w:after="60" w:before="60"/>
      </w:pPr>
      <w:r>
        <w:rPr>
          <w:rFonts w:ascii="Arial" w:cs="Arial" w:eastAsia="Arial" w:hAnsi="Arial"/>
          <w:color w:val="1C2833"/>
          <w:sz w:val="22"/>
          <w:szCs w:val="22"/>
        </w:rPr>
        <w:t xml:space="preserve">Bank linkage reports: CIF (Credit Information Format) for SHG-Bank Linkage Programme</w:t>
      </w:r>
    </w:p>
    <w:p>
      <w:pPr>
        <w:pStyle w:val="ListParagraph"/>
        <w:numPr>
          <w:ilvl w:val="0"/>
          <w:numId w:val="2"/>
        </w:numPr>
        <w:spacing w:after="60" w:before="60"/>
      </w:pPr>
      <w:r>
        <w:rPr>
          <w:rFonts w:ascii="Arial" w:cs="Arial" w:eastAsia="Arial" w:hAnsi="Arial"/>
          <w:color w:val="1C2833"/>
          <w:sz w:val="22"/>
          <w:szCs w:val="22"/>
        </w:rPr>
        <w:t xml:space="preserve">State NRLM export: Data export in state-specific NRLM/SRLM portal formats</w:t>
      </w:r>
    </w:p>
    <w:p>
      <w:pPr>
        <w:pStyle w:val="ListParagraph"/>
        <w:numPr>
          <w:ilvl w:val="0"/>
          <w:numId w:val="2"/>
        </w:numPr>
        <w:spacing w:after="60" w:before="60"/>
      </w:pPr>
      <w:r>
        <w:rPr>
          <w:rFonts w:ascii="Arial" w:cs="Arial" w:eastAsia="Arial" w:hAnsi="Arial"/>
          <w:color w:val="1C2833"/>
          <w:sz w:val="22"/>
          <w:szCs w:val="22"/>
        </w:rPr>
        <w:t xml:space="preserve">Audit trail: Every transaction, change, and login is immutably logged</w:t>
      </w:r>
    </w:p>
    <w:p>
      <w:pPr>
        <w:spacing w:after="0" w:before="100"/>
      </w:pPr>
      <w:r>
        <w:t xml:space="preserve"/>
      </w:r>
    </w:p>
    <w:p>
      <w:pPr>
        <w:pStyle w:val="Heading2"/>
        <w:pBdr>
          <w:bottom w:val="single" w:color="2E86C1" w:sz="4"/>
        </w:pBdr>
        <w:spacing w:after="150" w:before="300"/>
      </w:pPr>
      <w:r>
        <w:rPr>
          <w:rFonts w:ascii="Arial" w:cs="Arial" w:eastAsia="Arial" w:hAnsi="Arial"/>
          <w:b/>
          <w:bCs/>
          <w:color w:val="1A5276"/>
          <w:sz w:val="28"/>
          <w:szCs w:val="28"/>
        </w:rPr>
        <w:t xml:space="preserve">Module 2: Financial Services</w:t>
      </w:r>
    </w:p>
    <w:p>
      <w:pPr>
        <w:shd w:fill="D6EAF8" w:val="clear"/>
        <w:spacing w:after="100" w:before="200"/>
        <w:ind w:left="200" w:right="200"/>
      </w:pPr>
      <w:r>
        <w:rPr>
          <w:rFonts w:ascii="Arial" w:cs="Arial" w:eastAsia="Arial" w:hAnsi="Arial"/>
          <w:b/>
          <w:bCs/>
          <w:color w:val="1A5276"/>
          <w:sz w:val="22"/>
          <w:szCs w:val="22"/>
        </w:rPr>
        <w:t xml:space="preserve">Core Purpose: Enable formal and informal lending within and beyond the SHG with full digital transparency</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4.2.1 Internal Loan Management</w:t>
      </w:r>
    </w:p>
    <w:p>
      <w:pPr>
        <w:pStyle w:val="ListParagraph"/>
        <w:numPr>
          <w:ilvl w:val="0"/>
          <w:numId w:val="2"/>
        </w:numPr>
        <w:spacing w:after="60" w:before="60"/>
      </w:pPr>
      <w:r>
        <w:rPr>
          <w:rFonts w:ascii="Arial" w:cs="Arial" w:eastAsia="Arial" w:hAnsi="Arial"/>
          <w:color w:val="1C2833"/>
          <w:sz w:val="22"/>
          <w:szCs w:val="22"/>
        </w:rPr>
        <w:t xml:space="preserve">Loan application: Member submits digital loan request with purpose, amount, repayment plan</w:t>
      </w:r>
    </w:p>
    <w:p>
      <w:pPr>
        <w:pStyle w:val="ListParagraph"/>
        <w:numPr>
          <w:ilvl w:val="0"/>
          <w:numId w:val="2"/>
        </w:numPr>
        <w:spacing w:after="60" w:before="60"/>
      </w:pPr>
      <w:r>
        <w:rPr>
          <w:rFonts w:ascii="Arial" w:cs="Arial" w:eastAsia="Arial" w:hAnsi="Arial"/>
          <w:color w:val="1C2833"/>
          <w:sz w:val="22"/>
          <w:szCs w:val="22"/>
        </w:rPr>
        <w:t xml:space="preserve">Group voting: Loan approval by quorum — majority vote tracked digitally with timestamps</w:t>
      </w:r>
    </w:p>
    <w:p>
      <w:pPr>
        <w:pStyle w:val="ListParagraph"/>
        <w:numPr>
          <w:ilvl w:val="0"/>
          <w:numId w:val="2"/>
        </w:numPr>
        <w:spacing w:after="60" w:before="60"/>
      </w:pPr>
      <w:r>
        <w:rPr>
          <w:rFonts w:ascii="Arial" w:cs="Arial" w:eastAsia="Arial" w:hAnsi="Arial"/>
          <w:color w:val="1C2833"/>
          <w:sz w:val="22"/>
          <w:szCs w:val="22"/>
        </w:rPr>
        <w:t xml:space="preserve">Loan agreement: Auto-generated digital loan agreement signed via OTP</w:t>
      </w:r>
    </w:p>
    <w:p>
      <w:pPr>
        <w:pStyle w:val="ListParagraph"/>
        <w:numPr>
          <w:ilvl w:val="0"/>
          <w:numId w:val="2"/>
        </w:numPr>
        <w:spacing w:after="60" w:before="60"/>
      </w:pPr>
      <w:r>
        <w:rPr>
          <w:rFonts w:ascii="Arial" w:cs="Arial" w:eastAsia="Arial" w:hAnsi="Arial"/>
          <w:color w:val="1C2833"/>
          <w:sz w:val="22"/>
          <w:szCs w:val="22"/>
        </w:rPr>
        <w:t xml:space="preserve">Repayment schedule: EMI calendar generated automatically with interest calculation</w:t>
      </w:r>
    </w:p>
    <w:p>
      <w:pPr>
        <w:pStyle w:val="ListParagraph"/>
        <w:numPr>
          <w:ilvl w:val="0"/>
          <w:numId w:val="2"/>
        </w:numPr>
        <w:spacing w:after="60" w:before="60"/>
      </w:pPr>
      <w:r>
        <w:rPr>
          <w:rFonts w:ascii="Arial" w:cs="Arial" w:eastAsia="Arial" w:hAnsi="Arial"/>
          <w:color w:val="1C2833"/>
          <w:sz w:val="22"/>
          <w:szCs w:val="22"/>
        </w:rPr>
        <w:t xml:space="preserve">Repayment tracking: Payment recorded, overdue flags, automated reminders</w:t>
      </w:r>
    </w:p>
    <w:p>
      <w:pPr>
        <w:pStyle w:val="ListParagraph"/>
        <w:numPr>
          <w:ilvl w:val="0"/>
          <w:numId w:val="2"/>
        </w:numPr>
        <w:spacing w:after="60" w:before="60"/>
      </w:pPr>
      <w:r>
        <w:rPr>
          <w:rFonts w:ascii="Arial" w:cs="Arial" w:eastAsia="Arial" w:hAnsi="Arial"/>
          <w:color w:val="1C2833"/>
          <w:sz w:val="22"/>
          <w:szCs w:val="22"/>
        </w:rPr>
        <w:t xml:space="preserve">NPA flagging: Non-performing loan detection and escalation to group president</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4.2.2 Bank Linkage &amp; External Loans</w:t>
      </w:r>
    </w:p>
    <w:p>
      <w:pPr>
        <w:pStyle w:val="ListParagraph"/>
        <w:numPr>
          <w:ilvl w:val="0"/>
          <w:numId w:val="2"/>
        </w:numPr>
        <w:spacing w:after="60" w:before="60"/>
      </w:pPr>
      <w:r>
        <w:rPr>
          <w:rFonts w:ascii="Arial" w:cs="Arial" w:eastAsia="Arial" w:hAnsi="Arial"/>
          <w:color w:val="1C2833"/>
          <w:sz w:val="22"/>
          <w:szCs w:val="22"/>
        </w:rPr>
        <w:t xml:space="preserve">Bank SHG Linkage Phase I/II/III: Digital application preparation for all three phases</w:t>
      </w:r>
    </w:p>
    <w:p>
      <w:pPr>
        <w:pStyle w:val="ListParagraph"/>
        <w:numPr>
          <w:ilvl w:val="0"/>
          <w:numId w:val="2"/>
        </w:numPr>
        <w:spacing w:after="60" w:before="60"/>
      </w:pPr>
      <w:r>
        <w:rPr>
          <w:rFonts w:ascii="Arial" w:cs="Arial" w:eastAsia="Arial" w:hAnsi="Arial"/>
          <w:color w:val="1C2833"/>
          <w:sz w:val="22"/>
          <w:szCs w:val="22"/>
        </w:rPr>
        <w:t xml:space="preserve">MUDRA Loan: Digital application support for Shishu (₹50K), Kishore (₹5L), Tarun (₹10L)</w:t>
      </w:r>
    </w:p>
    <w:p>
      <w:pPr>
        <w:pStyle w:val="ListParagraph"/>
        <w:numPr>
          <w:ilvl w:val="0"/>
          <w:numId w:val="2"/>
        </w:numPr>
        <w:spacing w:after="60" w:before="60"/>
      </w:pPr>
      <w:r>
        <w:rPr>
          <w:rFonts w:ascii="Arial" w:cs="Arial" w:eastAsia="Arial" w:hAnsi="Arial"/>
          <w:color w:val="1C2833"/>
          <w:sz w:val="22"/>
          <w:szCs w:val="22"/>
        </w:rPr>
        <w:t xml:space="preserve">Credit score calculation: Proprietary SHG Credit Score (SCS) based on 18 parameters</w:t>
      </w:r>
    </w:p>
    <w:p>
      <w:pPr>
        <w:pStyle w:val="ListParagraph"/>
        <w:numPr>
          <w:ilvl w:val="0"/>
          <w:numId w:val="2"/>
        </w:numPr>
        <w:spacing w:after="60" w:before="60"/>
      </w:pPr>
      <w:r>
        <w:rPr>
          <w:rFonts w:ascii="Arial" w:cs="Arial" w:eastAsia="Arial" w:hAnsi="Arial"/>
          <w:color w:val="1C2833"/>
          <w:sz w:val="22"/>
          <w:szCs w:val="22"/>
        </w:rPr>
        <w:t xml:space="preserve">Loan offer matching: Bank loan products matched to SHG's credit score tier</w:t>
      </w:r>
    </w:p>
    <w:p>
      <w:pPr>
        <w:pStyle w:val="ListParagraph"/>
        <w:numPr>
          <w:ilvl w:val="0"/>
          <w:numId w:val="2"/>
        </w:numPr>
        <w:spacing w:after="60" w:before="60"/>
      </w:pPr>
      <w:r>
        <w:rPr>
          <w:rFonts w:ascii="Arial" w:cs="Arial" w:eastAsia="Arial" w:hAnsi="Arial"/>
          <w:color w:val="1C2833"/>
          <w:sz w:val="22"/>
          <w:szCs w:val="22"/>
        </w:rPr>
        <w:t xml:space="preserve">Account Aggregator: Consented data sharing with AA framework for bank underwriting</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4.2.3 SHG Credit Score (SCS)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3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Savings Regularity (12-month consistency)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20%</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Loan Repayment Rate (internal loans)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20%</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Meeting Attendance Rate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10%</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Book-Keeping Quality (digital entries)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10%</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Group Age &amp; Stability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10%</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Member Count &amp; Retention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10%</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Bank Linkage Status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10%</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Government Scheme Utilisation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5%</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Marketplace Activity &amp; Revenue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5%</w:t>
            </w:r>
          </w:p>
        </w:tc>
      </w:tr>
    </w:tbl>
    <w:p>
      <w:pPr>
        <w:spacing w:after="0" w:before="100"/>
      </w:pPr>
      <w:r>
        <w:t xml:space="preserve"/>
      </w:r>
    </w:p>
    <w:p>
      <w:pPr>
        <w:pStyle w:val="Heading3"/>
        <w:spacing w:after="100" w:before="200"/>
      </w:pPr>
      <w:r>
        <w:rPr>
          <w:rFonts w:ascii="Arial" w:cs="Arial" w:eastAsia="Arial" w:hAnsi="Arial"/>
          <w:b/>
          <w:bCs/>
          <w:color w:val="2E86C1"/>
          <w:sz w:val="24"/>
          <w:szCs w:val="24"/>
        </w:rPr>
        <w:t xml:space="preserve">4.2.4 UPI &amp; Payments Integration</w:t>
      </w:r>
    </w:p>
    <w:p>
      <w:pPr>
        <w:pStyle w:val="ListParagraph"/>
        <w:numPr>
          <w:ilvl w:val="0"/>
          <w:numId w:val="2"/>
        </w:numPr>
        <w:spacing w:after="60" w:before="60"/>
      </w:pPr>
      <w:r>
        <w:rPr>
          <w:rFonts w:ascii="Arial" w:cs="Arial" w:eastAsia="Arial" w:hAnsi="Arial"/>
          <w:color w:val="1C2833"/>
          <w:sz w:val="22"/>
          <w:szCs w:val="22"/>
        </w:rPr>
        <w:t xml:space="preserve">UPI collect request: Secretary can send UPI payment requests to all members simultaneously</w:t>
      </w:r>
    </w:p>
    <w:p>
      <w:pPr>
        <w:pStyle w:val="ListParagraph"/>
        <w:numPr>
          <w:ilvl w:val="0"/>
          <w:numId w:val="2"/>
        </w:numPr>
        <w:spacing w:after="60" w:before="60"/>
      </w:pPr>
      <w:r>
        <w:rPr>
          <w:rFonts w:ascii="Arial" w:cs="Arial" w:eastAsia="Arial" w:hAnsi="Arial"/>
          <w:color w:val="1C2833"/>
          <w:sz w:val="22"/>
          <w:szCs w:val="22"/>
        </w:rPr>
        <w:t xml:space="preserve">Payment confirmation: Auto-reconciliation of UPI payments to savings/loan ledger</w:t>
      </w:r>
    </w:p>
    <w:p>
      <w:pPr>
        <w:pStyle w:val="ListParagraph"/>
        <w:numPr>
          <w:ilvl w:val="0"/>
          <w:numId w:val="2"/>
        </w:numPr>
        <w:spacing w:after="60" w:before="60"/>
      </w:pPr>
      <w:r>
        <w:rPr>
          <w:rFonts w:ascii="Arial" w:cs="Arial" w:eastAsia="Arial" w:hAnsi="Arial"/>
          <w:color w:val="1C2833"/>
          <w:sz w:val="22"/>
          <w:szCs w:val="22"/>
        </w:rPr>
        <w:t xml:space="preserve">Razorpay/Cashfree integration: Payment gateway for marketplace transactions</w:t>
      </w:r>
    </w:p>
    <w:p>
      <w:pPr>
        <w:pStyle w:val="ListParagraph"/>
        <w:numPr>
          <w:ilvl w:val="0"/>
          <w:numId w:val="2"/>
        </w:numPr>
        <w:spacing w:after="60" w:before="60"/>
      </w:pPr>
      <w:r>
        <w:rPr>
          <w:rFonts w:ascii="Arial" w:cs="Arial" w:eastAsia="Arial" w:hAnsi="Arial"/>
          <w:color w:val="1C2833"/>
          <w:sz w:val="22"/>
          <w:szCs w:val="22"/>
        </w:rPr>
        <w:t xml:space="preserve">QR code payments: Physical QR code for meeting-time cash collection with digital receipt</w:t>
      </w:r>
    </w:p>
    <w:p>
      <w:r>
        <w:br w:type="page"/>
      </w:r>
    </w:p>
    <w:p>
      <w:pPr>
        <w:pStyle w:val="Heading2"/>
        <w:pBdr>
          <w:bottom w:val="single" w:color="2E86C1" w:sz="4"/>
        </w:pBdr>
        <w:spacing w:after="150" w:before="300"/>
      </w:pPr>
      <w:r>
        <w:rPr>
          <w:rFonts w:ascii="Arial" w:cs="Arial" w:eastAsia="Arial" w:hAnsi="Arial"/>
          <w:b/>
          <w:bCs/>
          <w:color w:val="1A5276"/>
          <w:sz w:val="28"/>
          <w:szCs w:val="28"/>
        </w:rPr>
        <w:t xml:space="preserve">Module 3: Learning Academy</w:t>
      </w:r>
    </w:p>
    <w:p>
      <w:pPr>
        <w:shd w:fill="D6EAF8" w:val="clear"/>
        <w:spacing w:after="100" w:before="200"/>
        <w:ind w:left="200" w:right="200"/>
      </w:pPr>
      <w:r>
        <w:rPr>
          <w:rFonts w:ascii="Arial" w:cs="Arial" w:eastAsia="Arial" w:hAnsi="Arial"/>
          <w:b/>
          <w:bCs/>
          <w:color w:val="1A5276"/>
          <w:sz w:val="22"/>
          <w:szCs w:val="22"/>
        </w:rPr>
        <w:t xml:space="preserve">Core Purpose: Build the skills, knowledge, and digital confidence of every SHG member</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4.3.1 Course Library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Course Category</w:t>
            </w:r>
          </w:p>
        </w:tc>
        <w:tc>
          <w:tcPr>
            <w:tcW w:type="dxa" w:w="61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Topics Covered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Financial Literacy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Savings principles, interest calculation, loan management, insurance, tax basics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Digital Literacy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Smartphone use, UPI/BHIM, WhatsApp Business, online banking, OTP safety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Entrepreneurship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Business model canvas, pricing, profit &amp; loss, market research, competition analysis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Marketing &amp; Sales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Product photography, social media marketing, WhatsApp marketing, branding basics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Government Schemes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PMMY, PMEGP, PM SVANidhi, DAY-NRLM, state-specific schemes — eligibility &amp; application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Product Quality &amp; Packaging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Food safety (FSSAI), labeling requirements, packaging design, quality standards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E-Commerce &amp; Marketplace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How to list products, manage orders, handle returns, customer service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Leadership &amp; Governance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SHG management best practices, conflict resolution, meeting facilitation, documentation</w:t>
            </w:r>
          </w:p>
        </w:tc>
      </w:tr>
    </w:tbl>
    <w:p>
      <w:pPr>
        <w:spacing w:after="0" w:before="100"/>
      </w:pPr>
      <w:r>
        <w:t xml:space="preserve"/>
      </w:r>
    </w:p>
    <w:p>
      <w:pPr>
        <w:pStyle w:val="Heading3"/>
        <w:spacing w:after="100" w:before="200"/>
      </w:pPr>
      <w:r>
        <w:rPr>
          <w:rFonts w:ascii="Arial" w:cs="Arial" w:eastAsia="Arial" w:hAnsi="Arial"/>
          <w:b/>
          <w:bCs/>
          <w:color w:val="2E86C1"/>
          <w:sz w:val="24"/>
          <w:szCs w:val="24"/>
        </w:rPr>
        <w:t xml:space="preserve">4.3.2 Content Format &amp; Delivery</w:t>
      </w:r>
    </w:p>
    <w:p>
      <w:pPr>
        <w:pStyle w:val="ListParagraph"/>
        <w:numPr>
          <w:ilvl w:val="0"/>
          <w:numId w:val="2"/>
        </w:numPr>
        <w:spacing w:after="60" w:before="60"/>
      </w:pPr>
      <w:r>
        <w:rPr>
          <w:rFonts w:ascii="Arial" w:cs="Arial" w:eastAsia="Arial" w:hAnsi="Arial"/>
          <w:color w:val="1C2833"/>
          <w:sz w:val="22"/>
          <w:szCs w:val="22"/>
        </w:rPr>
        <w:t xml:space="preserve">Short-form videos: 3–7 minute micro-learning videos with regional language dubbing</w:t>
      </w:r>
    </w:p>
    <w:p>
      <w:pPr>
        <w:pStyle w:val="ListParagraph"/>
        <w:numPr>
          <w:ilvl w:val="0"/>
          <w:numId w:val="2"/>
        </w:numPr>
        <w:spacing w:after="60" w:before="60"/>
      </w:pPr>
      <w:r>
        <w:rPr>
          <w:rFonts w:ascii="Arial" w:cs="Arial" w:eastAsia="Arial" w:hAnsi="Arial"/>
          <w:color w:val="1C2833"/>
          <w:sz w:val="22"/>
          <w:szCs w:val="22"/>
        </w:rPr>
        <w:t xml:space="preserve">Audio lessons: MP3 format for low-connectivity or feature phone users</w:t>
      </w:r>
    </w:p>
    <w:p>
      <w:pPr>
        <w:pStyle w:val="ListParagraph"/>
        <w:numPr>
          <w:ilvl w:val="0"/>
          <w:numId w:val="2"/>
        </w:numPr>
        <w:spacing w:after="60" w:before="60"/>
      </w:pPr>
      <w:r>
        <w:rPr>
          <w:rFonts w:ascii="Arial" w:cs="Arial" w:eastAsia="Arial" w:hAnsi="Arial"/>
          <w:color w:val="1C2833"/>
          <w:sz w:val="22"/>
          <w:szCs w:val="22"/>
        </w:rPr>
        <w:t xml:space="preserve">Illustrated PDF guides: Visual step-by-step guides for zero-literacy learners</w:t>
      </w:r>
    </w:p>
    <w:p>
      <w:pPr>
        <w:pStyle w:val="ListParagraph"/>
        <w:numPr>
          <w:ilvl w:val="0"/>
          <w:numId w:val="2"/>
        </w:numPr>
        <w:spacing w:after="60" w:before="60"/>
      </w:pPr>
      <w:r>
        <w:rPr>
          <w:rFonts w:ascii="Arial" w:cs="Arial" w:eastAsia="Arial" w:hAnsi="Arial"/>
          <w:color w:val="1C2833"/>
          <w:sz w:val="22"/>
          <w:szCs w:val="22"/>
        </w:rPr>
        <w:t xml:space="preserve">Interactive quizzes: MCQ assessments after each module with instant feedback</w:t>
      </w:r>
    </w:p>
    <w:p>
      <w:pPr>
        <w:pStyle w:val="ListParagraph"/>
        <w:numPr>
          <w:ilvl w:val="0"/>
          <w:numId w:val="2"/>
        </w:numPr>
        <w:spacing w:after="60" w:before="60"/>
      </w:pPr>
      <w:r>
        <w:rPr>
          <w:rFonts w:ascii="Arial" w:cs="Arial" w:eastAsia="Arial" w:hAnsi="Arial"/>
          <w:color w:val="1C2833"/>
          <w:sz w:val="22"/>
          <w:szCs w:val="22"/>
        </w:rPr>
        <w:t xml:space="preserve">Certification: Digital certificates issued upon course completion (shareable on WhatsApp)</w:t>
      </w:r>
    </w:p>
    <w:p>
      <w:pPr>
        <w:pStyle w:val="ListParagraph"/>
        <w:numPr>
          <w:ilvl w:val="0"/>
          <w:numId w:val="2"/>
        </w:numPr>
        <w:spacing w:after="60" w:before="60"/>
      </w:pPr>
      <w:r>
        <w:rPr>
          <w:rFonts w:ascii="Arial" w:cs="Arial" w:eastAsia="Arial" w:hAnsi="Arial"/>
          <w:color w:val="1C2833"/>
          <w:sz w:val="22"/>
          <w:szCs w:val="22"/>
        </w:rPr>
        <w:t xml:space="preserve">Offline download: Courses downloadable for offline consumption — critical for rural users</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4.3.3 Language Support</w:t>
      </w:r>
    </w:p>
    <w:p>
      <w:pPr>
        <w:pStyle w:val="ListParagraph"/>
        <w:numPr>
          <w:ilvl w:val="0"/>
          <w:numId w:val="2"/>
        </w:numPr>
        <w:spacing w:after="60" w:before="60"/>
      </w:pPr>
      <w:r>
        <w:rPr>
          <w:rFonts w:ascii="Arial" w:cs="Arial" w:eastAsia="Arial" w:hAnsi="Arial"/>
          <w:color w:val="1C2833"/>
          <w:sz w:val="22"/>
          <w:szCs w:val="22"/>
        </w:rPr>
        <w:t xml:space="preserve">Launch languages: Hindi, Tamil, Telugu, Kannada, Marathi, Bengali, Odia, Gujarati</w:t>
      </w:r>
    </w:p>
    <w:p>
      <w:pPr>
        <w:pStyle w:val="ListParagraph"/>
        <w:numPr>
          <w:ilvl w:val="0"/>
          <w:numId w:val="2"/>
        </w:numPr>
        <w:spacing w:after="60" w:before="60"/>
      </w:pPr>
      <w:r>
        <w:rPr>
          <w:rFonts w:ascii="Arial" w:cs="Arial" w:eastAsia="Arial" w:hAnsi="Arial"/>
          <w:color w:val="1C2833"/>
          <w:sz w:val="22"/>
          <w:szCs w:val="22"/>
        </w:rPr>
        <w:t xml:space="preserve">Voice narration: All videos have native-speaker narration in each language</w:t>
      </w:r>
    </w:p>
    <w:p>
      <w:pPr>
        <w:pStyle w:val="ListParagraph"/>
        <w:numPr>
          <w:ilvl w:val="0"/>
          <w:numId w:val="2"/>
        </w:numPr>
        <w:spacing w:after="60" w:before="60"/>
      </w:pPr>
      <w:r>
        <w:rPr>
          <w:rFonts w:ascii="Arial" w:cs="Arial" w:eastAsia="Arial" w:hAnsi="Arial"/>
          <w:color w:val="1C2833"/>
          <w:sz w:val="22"/>
          <w:szCs w:val="22"/>
        </w:rPr>
        <w:t xml:space="preserve">Text localisation: Full UI localisation — no reliance on translation APIs</w:t>
      </w:r>
    </w:p>
    <w:p>
      <w:pPr>
        <w:pStyle w:val="ListParagraph"/>
        <w:numPr>
          <w:ilvl w:val="0"/>
          <w:numId w:val="2"/>
        </w:numPr>
        <w:spacing w:after="60" w:before="60"/>
      </w:pPr>
      <w:r>
        <w:rPr>
          <w:rFonts w:ascii="Arial" w:cs="Arial" w:eastAsia="Arial" w:hAnsi="Arial"/>
          <w:color w:val="1C2833"/>
          <w:sz w:val="22"/>
          <w:szCs w:val="22"/>
        </w:rPr>
        <w:t xml:space="preserve">Roadmap: 14 additional Indian languages by Year 3</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4.3.4 Gamification &amp; Progress</w:t>
      </w:r>
    </w:p>
    <w:p>
      <w:pPr>
        <w:pStyle w:val="ListParagraph"/>
        <w:numPr>
          <w:ilvl w:val="0"/>
          <w:numId w:val="2"/>
        </w:numPr>
        <w:spacing w:after="60" w:before="60"/>
      </w:pPr>
      <w:r>
        <w:rPr>
          <w:rFonts w:ascii="Arial" w:cs="Arial" w:eastAsia="Arial" w:hAnsi="Arial"/>
          <w:color w:val="1C2833"/>
          <w:sz w:val="22"/>
          <w:szCs w:val="22"/>
        </w:rPr>
        <w:t xml:space="preserve">Learning streaks: Daily login and course completion streaks with visual badges</w:t>
      </w:r>
    </w:p>
    <w:p>
      <w:pPr>
        <w:pStyle w:val="ListParagraph"/>
        <w:numPr>
          <w:ilvl w:val="0"/>
          <w:numId w:val="2"/>
        </w:numPr>
        <w:spacing w:after="60" w:before="60"/>
      </w:pPr>
      <w:r>
        <w:rPr>
          <w:rFonts w:ascii="Arial" w:cs="Arial" w:eastAsia="Arial" w:hAnsi="Arial"/>
          <w:color w:val="1C2833"/>
          <w:sz w:val="22"/>
          <w:szCs w:val="22"/>
        </w:rPr>
        <w:t xml:space="preserve">Leaderboards: District-level leaderboards for most courses completed</w:t>
      </w:r>
    </w:p>
    <w:p>
      <w:pPr>
        <w:pStyle w:val="ListParagraph"/>
        <w:numPr>
          <w:ilvl w:val="0"/>
          <w:numId w:val="2"/>
        </w:numPr>
        <w:spacing w:after="60" w:before="60"/>
      </w:pPr>
      <w:r>
        <w:rPr>
          <w:rFonts w:ascii="Arial" w:cs="Arial" w:eastAsia="Arial" w:hAnsi="Arial"/>
          <w:color w:val="1C2833"/>
          <w:sz w:val="22"/>
          <w:szCs w:val="22"/>
        </w:rPr>
        <w:t xml:space="preserve">XP points: Experience points redeemable for premium content or loan application priority</w:t>
      </w:r>
    </w:p>
    <w:p>
      <w:pPr>
        <w:pStyle w:val="ListParagraph"/>
        <w:numPr>
          <w:ilvl w:val="0"/>
          <w:numId w:val="2"/>
        </w:numPr>
        <w:spacing w:after="60" w:before="60"/>
      </w:pPr>
      <w:r>
        <w:rPr>
          <w:rFonts w:ascii="Arial" w:cs="Arial" w:eastAsia="Arial" w:hAnsi="Arial"/>
          <w:color w:val="1C2833"/>
          <w:sz w:val="22"/>
          <w:szCs w:val="22"/>
        </w:rPr>
        <w:t xml:space="preserve">Progress tracking: Dashboard shows completed, in-progress, and recommended courses</w:t>
      </w:r>
    </w:p>
    <w:p>
      <w:r>
        <w:br w:type="page"/>
      </w:r>
    </w:p>
    <w:p>
      <w:pPr>
        <w:pStyle w:val="Heading2"/>
        <w:pBdr>
          <w:bottom w:val="single" w:color="2E86C1" w:sz="4"/>
        </w:pBdr>
        <w:spacing w:after="150" w:before="300"/>
      </w:pPr>
      <w:r>
        <w:rPr>
          <w:rFonts w:ascii="Arial" w:cs="Arial" w:eastAsia="Arial" w:hAnsi="Arial"/>
          <w:b/>
          <w:bCs/>
          <w:color w:val="1A5276"/>
          <w:sz w:val="28"/>
          <w:szCs w:val="28"/>
        </w:rPr>
        <w:t xml:space="preserve">Module 4: Marketplace &amp; Commerce</w:t>
      </w:r>
    </w:p>
    <w:p>
      <w:pPr>
        <w:shd w:fill="D6EAF8" w:val="clear"/>
        <w:spacing w:after="100" w:before="200"/>
        <w:ind w:left="200" w:right="200"/>
      </w:pPr>
      <w:r>
        <w:rPr>
          <w:rFonts w:ascii="Arial" w:cs="Arial" w:eastAsia="Arial" w:hAnsi="Arial"/>
          <w:b/>
          <w:bCs/>
          <w:color w:val="1A5276"/>
          <w:sz w:val="22"/>
          <w:szCs w:val="22"/>
        </w:rPr>
        <w:t xml:space="preserve">Core Purpose: Enable SHGs to sell products directly to consumers and businesses, eliminating middlemen</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4.4.1 Product Listing &amp; Catalog Management</w:t>
      </w:r>
    </w:p>
    <w:p>
      <w:pPr>
        <w:pStyle w:val="ListParagraph"/>
        <w:numPr>
          <w:ilvl w:val="0"/>
          <w:numId w:val="2"/>
        </w:numPr>
        <w:spacing w:after="60" w:before="60"/>
      </w:pPr>
      <w:r>
        <w:rPr>
          <w:rFonts w:ascii="Arial" w:cs="Arial" w:eastAsia="Arial" w:hAnsi="Arial"/>
          <w:color w:val="1C2833"/>
          <w:sz w:val="22"/>
          <w:szCs w:val="22"/>
        </w:rPr>
        <w:t xml:space="preserve">Product creation: Title, description, category, photos (up to 5), price, stock quantity</w:t>
      </w:r>
    </w:p>
    <w:p>
      <w:pPr>
        <w:pStyle w:val="ListParagraph"/>
        <w:numPr>
          <w:ilvl w:val="0"/>
          <w:numId w:val="2"/>
        </w:numPr>
        <w:spacing w:after="60" w:before="60"/>
      </w:pPr>
      <w:r>
        <w:rPr>
          <w:rFonts w:ascii="Arial" w:cs="Arial" w:eastAsia="Arial" w:hAnsi="Arial"/>
          <w:color w:val="1C2833"/>
          <w:sz w:val="22"/>
          <w:szCs w:val="22"/>
        </w:rPr>
        <w:t xml:space="preserve">AI-assisted pricing: Price recommendation based on material cost, market comparison, regional demand</w:t>
      </w:r>
    </w:p>
    <w:p>
      <w:pPr>
        <w:pStyle w:val="ListParagraph"/>
        <w:numPr>
          <w:ilvl w:val="0"/>
          <w:numId w:val="2"/>
        </w:numPr>
        <w:spacing w:after="60" w:before="60"/>
      </w:pPr>
      <w:r>
        <w:rPr>
          <w:rFonts w:ascii="Arial" w:cs="Arial" w:eastAsia="Arial" w:hAnsi="Arial"/>
          <w:color w:val="1C2833"/>
          <w:sz w:val="22"/>
          <w:szCs w:val="22"/>
        </w:rPr>
        <w:t xml:space="preserve">Product categories: Handicrafts, textiles, food products, agarbatti, papad, pickles, organic produce, handloom, pottery, jewellery</w:t>
      </w:r>
    </w:p>
    <w:p>
      <w:pPr>
        <w:pStyle w:val="ListParagraph"/>
        <w:numPr>
          <w:ilvl w:val="0"/>
          <w:numId w:val="2"/>
        </w:numPr>
        <w:spacing w:after="60" w:before="60"/>
      </w:pPr>
      <w:r>
        <w:rPr>
          <w:rFonts w:ascii="Arial" w:cs="Arial" w:eastAsia="Arial" w:hAnsi="Arial"/>
          <w:color w:val="1C2833"/>
          <w:sz w:val="22"/>
          <w:szCs w:val="22"/>
        </w:rPr>
        <w:t xml:space="preserve">Quality badges: FSSAI certified, Organic certified, GI Tag, Khadi Mark, Fair Trade — displayed on listings</w:t>
      </w:r>
    </w:p>
    <w:p>
      <w:pPr>
        <w:pStyle w:val="ListParagraph"/>
        <w:numPr>
          <w:ilvl w:val="0"/>
          <w:numId w:val="2"/>
        </w:numPr>
        <w:spacing w:after="60" w:before="60"/>
      </w:pPr>
      <w:r>
        <w:rPr>
          <w:rFonts w:ascii="Arial" w:cs="Arial" w:eastAsia="Arial" w:hAnsi="Arial"/>
          <w:color w:val="1C2833"/>
          <w:sz w:val="22"/>
          <w:szCs w:val="22"/>
        </w:rPr>
        <w:t xml:space="preserve">Story-selling: SHG product story feature — member faces, village name, crafting process narrative</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4.4.2 B2C Storefront</w:t>
      </w:r>
    </w:p>
    <w:p>
      <w:pPr>
        <w:pStyle w:val="ListParagraph"/>
        <w:numPr>
          <w:ilvl w:val="0"/>
          <w:numId w:val="2"/>
        </w:numPr>
        <w:spacing w:after="60" w:before="60"/>
      </w:pPr>
      <w:r>
        <w:rPr>
          <w:rFonts w:ascii="Arial" w:cs="Arial" w:eastAsia="Arial" w:hAnsi="Arial"/>
          <w:color w:val="1C2833"/>
          <w:sz w:val="22"/>
          <w:szCs w:val="22"/>
        </w:rPr>
        <w:t xml:space="preserve">SHG group storefront: Each SHG gets a shareable URL (setu.in/shg/savitri-group-varanasi)</w:t>
      </w:r>
    </w:p>
    <w:p>
      <w:pPr>
        <w:pStyle w:val="ListParagraph"/>
        <w:numPr>
          <w:ilvl w:val="0"/>
          <w:numId w:val="2"/>
        </w:numPr>
        <w:spacing w:after="60" w:before="60"/>
      </w:pPr>
      <w:r>
        <w:rPr>
          <w:rFonts w:ascii="Arial" w:cs="Arial" w:eastAsia="Arial" w:hAnsi="Arial"/>
          <w:color w:val="1C2833"/>
          <w:sz w:val="22"/>
          <w:szCs w:val="22"/>
        </w:rPr>
        <w:t xml:space="preserve">WhatsApp catalog integration: Automatic WhatsApp Business catalog sync</w:t>
      </w:r>
    </w:p>
    <w:p>
      <w:pPr>
        <w:pStyle w:val="ListParagraph"/>
        <w:numPr>
          <w:ilvl w:val="0"/>
          <w:numId w:val="2"/>
        </w:numPr>
        <w:spacing w:after="60" w:before="60"/>
      </w:pPr>
      <w:r>
        <w:rPr>
          <w:rFonts w:ascii="Arial" w:cs="Arial" w:eastAsia="Arial" w:hAnsi="Arial"/>
          <w:color w:val="1C2833"/>
          <w:sz w:val="22"/>
          <w:szCs w:val="22"/>
        </w:rPr>
        <w:t xml:space="preserve">Search &amp; discovery: Nationwide buyer search by product, region, certification, price range</w:t>
      </w:r>
    </w:p>
    <w:p>
      <w:pPr>
        <w:pStyle w:val="ListParagraph"/>
        <w:numPr>
          <w:ilvl w:val="0"/>
          <w:numId w:val="2"/>
        </w:numPr>
        <w:spacing w:after="60" w:before="60"/>
      </w:pPr>
      <w:r>
        <w:rPr>
          <w:rFonts w:ascii="Arial" w:cs="Arial" w:eastAsia="Arial" w:hAnsi="Arial"/>
          <w:color w:val="1C2833"/>
          <w:sz w:val="22"/>
          <w:szCs w:val="22"/>
        </w:rPr>
        <w:t xml:space="preserve">Product reviews: Verified buyer reviews with photo submissions</w:t>
      </w:r>
    </w:p>
    <w:p>
      <w:pPr>
        <w:pStyle w:val="ListParagraph"/>
        <w:numPr>
          <w:ilvl w:val="0"/>
          <w:numId w:val="2"/>
        </w:numPr>
        <w:spacing w:after="60" w:before="60"/>
      </w:pPr>
      <w:r>
        <w:rPr>
          <w:rFonts w:ascii="Arial" w:cs="Arial" w:eastAsia="Arial" w:hAnsi="Arial"/>
          <w:color w:val="1C2833"/>
          <w:sz w:val="22"/>
          <w:szCs w:val="22"/>
        </w:rPr>
        <w:t xml:space="preserve">Wishlist &amp; repeat order: Buyer can follow SHG stores and repeat-order with one click</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4.4.3 B2B Procurement Portal</w:t>
      </w:r>
    </w:p>
    <w:p>
      <w:pPr>
        <w:pStyle w:val="ListParagraph"/>
        <w:numPr>
          <w:ilvl w:val="0"/>
          <w:numId w:val="2"/>
        </w:numPr>
        <w:spacing w:after="60" w:before="60"/>
      </w:pPr>
      <w:r>
        <w:rPr>
          <w:rFonts w:ascii="Arial" w:cs="Arial" w:eastAsia="Arial" w:hAnsi="Arial"/>
          <w:color w:val="1C2833"/>
          <w:sz w:val="22"/>
          <w:szCs w:val="22"/>
        </w:rPr>
        <w:t xml:space="preserve">Corporate buyer registration: Verified corporate account with GST, bulk ordering capability</w:t>
      </w:r>
    </w:p>
    <w:p>
      <w:pPr>
        <w:pStyle w:val="ListParagraph"/>
        <w:numPr>
          <w:ilvl w:val="0"/>
          <w:numId w:val="2"/>
        </w:numPr>
        <w:spacing w:after="60" w:before="60"/>
      </w:pPr>
      <w:r>
        <w:rPr>
          <w:rFonts w:ascii="Arial" w:cs="Arial" w:eastAsia="Arial" w:hAnsi="Arial"/>
          <w:color w:val="1C2833"/>
          <w:sz w:val="22"/>
          <w:szCs w:val="22"/>
        </w:rPr>
        <w:t xml:space="preserve">Tender board: Government/corporate tenders for SHG products with application workflow</w:t>
      </w:r>
    </w:p>
    <w:p>
      <w:pPr>
        <w:pStyle w:val="ListParagraph"/>
        <w:numPr>
          <w:ilvl w:val="0"/>
          <w:numId w:val="2"/>
        </w:numPr>
        <w:spacing w:after="60" w:before="60"/>
      </w:pPr>
      <w:r>
        <w:rPr>
          <w:rFonts w:ascii="Arial" w:cs="Arial" w:eastAsia="Arial" w:hAnsi="Arial"/>
          <w:color w:val="1C2833"/>
          <w:sz w:val="22"/>
          <w:szCs w:val="22"/>
        </w:rPr>
        <w:t xml:space="preserve">Bulk quote request: Buyers can request quotes from multiple SHGs simultaneously</w:t>
      </w:r>
    </w:p>
    <w:p>
      <w:pPr>
        <w:pStyle w:val="ListParagraph"/>
        <w:numPr>
          <w:ilvl w:val="0"/>
          <w:numId w:val="2"/>
        </w:numPr>
        <w:spacing w:after="60" w:before="60"/>
      </w:pPr>
      <w:r>
        <w:rPr>
          <w:rFonts w:ascii="Arial" w:cs="Arial" w:eastAsia="Arial" w:hAnsi="Arial"/>
          <w:color w:val="1C2833"/>
          <w:sz w:val="22"/>
          <w:szCs w:val="22"/>
        </w:rPr>
        <w:t xml:space="preserve">Verified supplier profiles: SHG groups rated on quality, delivery time, capacity</w:t>
      </w:r>
    </w:p>
    <w:p>
      <w:pPr>
        <w:pStyle w:val="ListParagraph"/>
        <w:numPr>
          <w:ilvl w:val="0"/>
          <w:numId w:val="2"/>
        </w:numPr>
        <w:spacing w:after="60" w:before="60"/>
      </w:pPr>
      <w:r>
        <w:rPr>
          <w:rFonts w:ascii="Arial" w:cs="Arial" w:eastAsia="Arial" w:hAnsi="Arial"/>
          <w:color w:val="1C2833"/>
          <w:sz w:val="22"/>
          <w:szCs w:val="22"/>
        </w:rPr>
        <w:t xml:space="preserve">Export facilitation: Connects premium SHG products with export aggregators (EEPC, APEDA)</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4.4.4 Order Management &amp; Logistics</w:t>
      </w:r>
    </w:p>
    <w:p>
      <w:pPr>
        <w:pStyle w:val="ListParagraph"/>
        <w:numPr>
          <w:ilvl w:val="0"/>
          <w:numId w:val="2"/>
        </w:numPr>
        <w:spacing w:after="60" w:before="60"/>
      </w:pPr>
      <w:r>
        <w:rPr>
          <w:rFonts w:ascii="Arial" w:cs="Arial" w:eastAsia="Arial" w:hAnsi="Arial"/>
          <w:color w:val="1C2833"/>
          <w:sz w:val="22"/>
          <w:szCs w:val="22"/>
        </w:rPr>
        <w:t xml:space="preserve">Order dashboard: Real-time order status for buyer and SHG seller</w:t>
      </w:r>
    </w:p>
    <w:p>
      <w:pPr>
        <w:pStyle w:val="ListParagraph"/>
        <w:numPr>
          <w:ilvl w:val="0"/>
          <w:numId w:val="2"/>
        </w:numPr>
        <w:spacing w:after="60" w:before="60"/>
      </w:pPr>
      <w:r>
        <w:rPr>
          <w:rFonts w:ascii="Arial" w:cs="Arial" w:eastAsia="Arial" w:hAnsi="Arial"/>
          <w:color w:val="1C2833"/>
          <w:sz w:val="22"/>
          <w:szCs w:val="22"/>
        </w:rPr>
        <w:t xml:space="preserve">Integrated logistics: Delhivery, Ecom Express, DTDC, India Post APIs — auto-rate comparison</w:t>
      </w:r>
    </w:p>
    <w:p>
      <w:pPr>
        <w:pStyle w:val="ListParagraph"/>
        <w:numPr>
          <w:ilvl w:val="0"/>
          <w:numId w:val="2"/>
        </w:numPr>
        <w:spacing w:after="60" w:before="60"/>
      </w:pPr>
      <w:r>
        <w:rPr>
          <w:rFonts w:ascii="Arial" w:cs="Arial" w:eastAsia="Arial" w:hAnsi="Arial"/>
          <w:color w:val="1C2833"/>
          <w:sz w:val="22"/>
          <w:szCs w:val="22"/>
        </w:rPr>
        <w:t xml:space="preserve">Label printing: Auto-generated shipping label with SHG branding</w:t>
      </w:r>
    </w:p>
    <w:p>
      <w:pPr>
        <w:pStyle w:val="ListParagraph"/>
        <w:numPr>
          <w:ilvl w:val="0"/>
          <w:numId w:val="2"/>
        </w:numPr>
        <w:spacing w:after="60" w:before="60"/>
      </w:pPr>
      <w:r>
        <w:rPr>
          <w:rFonts w:ascii="Arial" w:cs="Arial" w:eastAsia="Arial" w:hAnsi="Arial"/>
          <w:color w:val="1C2833"/>
          <w:sz w:val="22"/>
          <w:szCs w:val="22"/>
        </w:rPr>
        <w:t xml:space="preserve">Return management: Automated return initiation, quality dispute resolution workflow</w:t>
      </w:r>
    </w:p>
    <w:p>
      <w:pPr>
        <w:pStyle w:val="ListParagraph"/>
        <w:numPr>
          <w:ilvl w:val="0"/>
          <w:numId w:val="2"/>
        </w:numPr>
        <w:spacing w:after="60" w:before="60"/>
      </w:pPr>
      <w:r>
        <w:rPr>
          <w:rFonts w:ascii="Arial" w:cs="Arial" w:eastAsia="Arial" w:hAnsi="Arial"/>
          <w:color w:val="1C2833"/>
          <w:sz w:val="22"/>
          <w:szCs w:val="22"/>
        </w:rPr>
        <w:t xml:space="preserve">GST invoicing: Auto-generated GST invoice for all transactions (Composition/Regular scheme)</w:t>
      </w:r>
    </w:p>
    <w:p>
      <w:pPr>
        <w:pStyle w:val="ListParagraph"/>
        <w:numPr>
          <w:ilvl w:val="0"/>
          <w:numId w:val="2"/>
        </w:numPr>
        <w:spacing w:after="60" w:before="60"/>
      </w:pPr>
      <w:r>
        <w:rPr>
          <w:rFonts w:ascii="Arial" w:cs="Arial" w:eastAsia="Arial" w:hAnsi="Arial"/>
          <w:color w:val="1C2833"/>
          <w:sz w:val="22"/>
          <w:szCs w:val="22"/>
        </w:rPr>
        <w:t xml:space="preserve">COD support: Cash-on-delivery option for rural buyers with reconciliation workflow</w:t>
      </w:r>
    </w:p>
    <w:p>
      <w:pPr>
        <w:spacing w:after="0" w:before="100"/>
      </w:pPr>
      <w:r>
        <w:t xml:space="preserve"/>
      </w:r>
    </w:p>
    <w:p>
      <w:pPr>
        <w:pStyle w:val="Heading2"/>
        <w:pBdr>
          <w:bottom w:val="single" w:color="2E86C1" w:sz="4"/>
        </w:pBdr>
        <w:spacing w:after="150" w:before="300"/>
      </w:pPr>
      <w:r>
        <w:rPr>
          <w:rFonts w:ascii="Arial" w:cs="Arial" w:eastAsia="Arial" w:hAnsi="Arial"/>
          <w:b/>
          <w:bCs/>
          <w:color w:val="1A5276"/>
          <w:sz w:val="28"/>
          <w:szCs w:val="28"/>
        </w:rPr>
        <w:t xml:space="preserve">Module 5: AI Business Copilot</w:t>
      </w:r>
    </w:p>
    <w:p>
      <w:pPr>
        <w:shd w:fill="D6EAF8" w:val="clear"/>
        <w:spacing w:after="100" w:before="200"/>
        <w:ind w:left="200" w:right="200"/>
      </w:pPr>
      <w:r>
        <w:rPr>
          <w:rFonts w:ascii="Arial" w:cs="Arial" w:eastAsia="Arial" w:hAnsi="Arial"/>
          <w:b/>
          <w:bCs/>
          <w:color w:val="1A5276"/>
          <w:sz w:val="22"/>
          <w:szCs w:val="22"/>
        </w:rPr>
        <w:t xml:space="preserve">Core Purpose: Democratise business intelligence for low-literacy rural women entrepreneurs</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4.5.1 Core AI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AI Feature</w:t>
            </w:r>
          </w:p>
        </w:tc>
        <w:tc>
          <w:tcPr>
            <w:tcW w:type="dxa" w:w="63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Description &amp; User Value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Voice Assistant (Sakhi AI)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Responds to voice queries in regional languages: 'Sakhi, what is my loan balance?' or 'Sakhi, help me price my sarees'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Scheme Discovery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Analyses SHG profile, location, income, and activity to match with eligible government schemes. Auto-fills application forms.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Product Pricing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Suggests optimal price based on: raw material cost input, competitor prices, platform sales data, demand trends, seasonal factors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Business Plan Generator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Creates a 1-page business plan for any SHG product idea — includes market size, pricing, costs, revenue projection, marketing plan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Sales Forecasting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Predicts next month's sales based on historical data, seasonal trends, upcoming festivals, and regional demand patterns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Credit Readiness Advisor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Tells SHG what actions to take to improve credit score: 'Attend 2 more meetings this month to hit 90% attendance threshold'</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Document Assistant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Reads and explains legal documents, scheme guidelines, loan agreements in simple Hindi/regional language</w:t>
            </w:r>
          </w:p>
        </w:tc>
      </w:tr>
    </w:tbl>
    <w:p>
      <w:pPr>
        <w:spacing w:after="0" w:before="100"/>
      </w:pPr>
      <w:r>
        <w:t xml:space="preserve"/>
      </w:r>
    </w:p>
    <w:p>
      <w:pPr>
        <w:pStyle w:val="Heading3"/>
        <w:spacing w:after="100" w:before="200"/>
      </w:pPr>
      <w:r>
        <w:rPr>
          <w:rFonts w:ascii="Arial" w:cs="Arial" w:eastAsia="Arial" w:hAnsi="Arial"/>
          <w:b/>
          <w:bCs/>
          <w:color w:val="2E86C1"/>
          <w:sz w:val="24"/>
          <w:szCs w:val="24"/>
        </w:rPr>
        <w:t xml:space="preserve">4.5.2 AI Technology Stack</w:t>
      </w:r>
    </w:p>
    <w:p>
      <w:pPr>
        <w:pStyle w:val="ListParagraph"/>
        <w:numPr>
          <w:ilvl w:val="0"/>
          <w:numId w:val="2"/>
        </w:numPr>
        <w:spacing w:after="60" w:before="60"/>
      </w:pPr>
      <w:r>
        <w:rPr>
          <w:rFonts w:ascii="Arial" w:cs="Arial" w:eastAsia="Arial" w:hAnsi="Arial"/>
          <w:color w:val="1C2833"/>
          <w:sz w:val="22"/>
          <w:szCs w:val="22"/>
        </w:rPr>
        <w:t xml:space="preserve">LLM: OpenAI GPT-4o / Google Gemini 1.5 Pro — fine-tuned on SHG domain data</w:t>
      </w:r>
    </w:p>
    <w:p>
      <w:pPr>
        <w:pStyle w:val="ListParagraph"/>
        <w:numPr>
          <w:ilvl w:val="0"/>
          <w:numId w:val="2"/>
        </w:numPr>
        <w:spacing w:after="60" w:before="60"/>
      </w:pPr>
      <w:r>
        <w:rPr>
          <w:rFonts w:ascii="Arial" w:cs="Arial" w:eastAsia="Arial" w:hAnsi="Arial"/>
          <w:color w:val="1C2833"/>
          <w:sz w:val="22"/>
          <w:szCs w:val="22"/>
        </w:rPr>
        <w:t xml:space="preserve">Voice: Google Speech-to-Text + Text-to-Speech for 12 Indian languages</w:t>
      </w:r>
    </w:p>
    <w:p>
      <w:pPr>
        <w:pStyle w:val="ListParagraph"/>
        <w:numPr>
          <w:ilvl w:val="0"/>
          <w:numId w:val="2"/>
        </w:numPr>
        <w:spacing w:after="60" w:before="60"/>
      </w:pPr>
      <w:r>
        <w:rPr>
          <w:rFonts w:ascii="Arial" w:cs="Arial" w:eastAsia="Arial" w:hAnsi="Arial"/>
          <w:color w:val="1C2833"/>
          <w:sz w:val="22"/>
          <w:szCs w:val="22"/>
        </w:rPr>
        <w:t xml:space="preserve">RAG (Retrieval-Augmented Generation): Real-time scheme database and market data retrieval</w:t>
      </w:r>
    </w:p>
    <w:p>
      <w:pPr>
        <w:pStyle w:val="ListParagraph"/>
        <w:numPr>
          <w:ilvl w:val="0"/>
          <w:numId w:val="2"/>
        </w:numPr>
        <w:spacing w:after="60" w:before="60"/>
      </w:pPr>
      <w:r>
        <w:rPr>
          <w:rFonts w:ascii="Arial" w:cs="Arial" w:eastAsia="Arial" w:hAnsi="Arial"/>
          <w:color w:val="1C2833"/>
          <w:sz w:val="22"/>
          <w:szCs w:val="22"/>
        </w:rPr>
        <w:t xml:space="preserve">Recommendation Engine: Collaborative filtering for courses, products, and scheme suggestions</w:t>
      </w:r>
    </w:p>
    <w:p>
      <w:pPr>
        <w:pStyle w:val="ListParagraph"/>
        <w:numPr>
          <w:ilvl w:val="0"/>
          <w:numId w:val="2"/>
        </w:numPr>
        <w:spacing w:after="60" w:before="60"/>
      </w:pPr>
      <w:r>
        <w:rPr>
          <w:rFonts w:ascii="Arial" w:cs="Arial" w:eastAsia="Arial" w:hAnsi="Arial"/>
          <w:color w:val="1C2833"/>
          <w:sz w:val="22"/>
          <w:szCs w:val="22"/>
        </w:rPr>
        <w:t xml:space="preserve">Guardrails: Strict hallucination prevention — financial advice always cites source</w:t>
      </w:r>
    </w:p>
    <w:p>
      <w:r>
        <w:br w:type="page"/>
      </w:r>
    </w:p>
    <w:p>
      <w:pPr>
        <w:pStyle w:val="Heading2"/>
        <w:pBdr>
          <w:bottom w:val="single" w:color="2E86C1" w:sz="4"/>
        </w:pBdr>
        <w:spacing w:after="150" w:before="300"/>
      </w:pPr>
      <w:r>
        <w:rPr>
          <w:rFonts w:ascii="Arial" w:cs="Arial" w:eastAsia="Arial" w:hAnsi="Arial"/>
          <w:b/>
          <w:bCs/>
          <w:color w:val="1A5276"/>
          <w:sz w:val="28"/>
          <w:szCs w:val="28"/>
        </w:rPr>
        <w:t xml:space="preserve">Module 6: Government Scheme Hub</w:t>
      </w:r>
    </w:p>
    <w:p>
      <w:pPr>
        <w:shd w:fill="D6EAF8" w:val="clear"/>
        <w:spacing w:after="100" w:before="200"/>
        <w:ind w:left="200" w:right="200"/>
      </w:pPr>
      <w:r>
        <w:rPr>
          <w:rFonts w:ascii="Arial" w:cs="Arial" w:eastAsia="Arial" w:hAnsi="Arial"/>
          <w:b/>
          <w:bCs/>
          <w:color w:val="1A5276"/>
          <w:sz w:val="22"/>
          <w:szCs w:val="22"/>
        </w:rPr>
        <w:t xml:space="preserve">Core Purpose: Bridge the scheme awareness and application gap for India's 90+ million SHG women</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4.6.1 Scheme Database</w:t>
      </w:r>
    </w:p>
    <w:p>
      <w:pPr>
        <w:pStyle w:val="ListParagraph"/>
        <w:numPr>
          <w:ilvl w:val="0"/>
          <w:numId w:val="2"/>
        </w:numPr>
        <w:spacing w:after="60" w:before="60"/>
      </w:pPr>
      <w:r>
        <w:rPr>
          <w:rFonts w:ascii="Arial" w:cs="Arial" w:eastAsia="Arial" w:hAnsi="Arial"/>
          <w:color w:val="1C2833"/>
          <w:sz w:val="22"/>
          <w:szCs w:val="22"/>
        </w:rPr>
        <w:t xml:space="preserve">Central government schemes: PM MUDRA Yojana, PMEGP, DAY-NRLM, PM SVANidhi, Startup India, Stand-Up India, PMFME (Food Processing), SFAC, APEDA</w:t>
      </w:r>
    </w:p>
    <w:p>
      <w:pPr>
        <w:pStyle w:val="ListParagraph"/>
        <w:numPr>
          <w:ilvl w:val="0"/>
          <w:numId w:val="2"/>
        </w:numPr>
        <w:spacing w:after="60" w:before="60"/>
      </w:pPr>
      <w:r>
        <w:rPr>
          <w:rFonts w:ascii="Arial" w:cs="Arial" w:eastAsia="Arial" w:hAnsi="Arial"/>
          <w:color w:val="1C2833"/>
          <w:sz w:val="22"/>
          <w:szCs w:val="22"/>
        </w:rPr>
        <w:t xml:space="preserve">State-specific schemes: Customised scheme database for each of India's 28 states and 8 UTs</w:t>
      </w:r>
    </w:p>
    <w:p>
      <w:pPr>
        <w:pStyle w:val="ListParagraph"/>
        <w:numPr>
          <w:ilvl w:val="0"/>
          <w:numId w:val="2"/>
        </w:numPr>
        <w:spacing w:after="60" w:before="60"/>
      </w:pPr>
      <w:r>
        <w:rPr>
          <w:rFonts w:ascii="Arial" w:cs="Arial" w:eastAsia="Arial" w:hAnsi="Arial"/>
          <w:color w:val="1C2833"/>
          <w:sz w:val="22"/>
          <w:szCs w:val="22"/>
        </w:rPr>
        <w:t xml:space="preserve">Scheme updates: Real-time scheme updates with notification to eligible SHGs</w:t>
      </w:r>
    </w:p>
    <w:p>
      <w:pPr>
        <w:pStyle w:val="ListParagraph"/>
        <w:numPr>
          <w:ilvl w:val="0"/>
          <w:numId w:val="2"/>
        </w:numPr>
        <w:spacing w:after="60" w:before="60"/>
      </w:pPr>
      <w:r>
        <w:rPr>
          <w:rFonts w:ascii="Arial" w:cs="Arial" w:eastAsia="Arial" w:hAnsi="Arial"/>
          <w:color w:val="1C2833"/>
          <w:sz w:val="22"/>
          <w:szCs w:val="22"/>
        </w:rPr>
        <w:t xml:space="preserve">Scheme tracker: Tracks which schemes have been applied for, approved, disbursed, or rejected</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4.6.2 Eligibility Engine</w:t>
      </w:r>
    </w:p>
    <w:p>
      <w:pPr>
        <w:pStyle w:val="ListParagraph"/>
        <w:numPr>
          <w:ilvl w:val="0"/>
          <w:numId w:val="2"/>
        </w:numPr>
        <w:spacing w:after="60" w:before="60"/>
      </w:pPr>
      <w:r>
        <w:rPr>
          <w:rFonts w:ascii="Arial" w:cs="Arial" w:eastAsia="Arial" w:hAnsi="Arial"/>
          <w:color w:val="1C2833"/>
          <w:sz w:val="22"/>
          <w:szCs w:val="22"/>
        </w:rPr>
        <w:t xml:space="preserve">Profile-based matching: SHG profile data (location, category, income, activity) auto-matched against scheme criteria</w:t>
      </w:r>
    </w:p>
    <w:p>
      <w:pPr>
        <w:pStyle w:val="ListParagraph"/>
        <w:numPr>
          <w:ilvl w:val="0"/>
          <w:numId w:val="2"/>
        </w:numPr>
        <w:spacing w:after="60" w:before="60"/>
      </w:pPr>
      <w:r>
        <w:rPr>
          <w:rFonts w:ascii="Arial" w:cs="Arial" w:eastAsia="Arial" w:hAnsi="Arial"/>
          <w:color w:val="1C2833"/>
          <w:sz w:val="22"/>
          <w:szCs w:val="22"/>
        </w:rPr>
        <w:t xml:space="preserve">Step-by-step guidance: Simplified application guide for each scheme in regional language</w:t>
      </w:r>
    </w:p>
    <w:p>
      <w:pPr>
        <w:pStyle w:val="ListParagraph"/>
        <w:numPr>
          <w:ilvl w:val="0"/>
          <w:numId w:val="2"/>
        </w:numPr>
        <w:spacing w:after="60" w:before="60"/>
      </w:pPr>
      <w:r>
        <w:rPr>
          <w:rFonts w:ascii="Arial" w:cs="Arial" w:eastAsia="Arial" w:hAnsi="Arial"/>
          <w:color w:val="1C2833"/>
          <w:sz w:val="22"/>
          <w:szCs w:val="22"/>
        </w:rPr>
        <w:t xml:space="preserve">Document checklist: AI-generated document checklist based on specific scheme and SHG profile</w:t>
      </w:r>
    </w:p>
    <w:p>
      <w:pPr>
        <w:pStyle w:val="ListParagraph"/>
        <w:numPr>
          <w:ilvl w:val="0"/>
          <w:numId w:val="2"/>
        </w:numPr>
        <w:spacing w:after="60" w:before="60"/>
      </w:pPr>
      <w:r>
        <w:rPr>
          <w:rFonts w:ascii="Arial" w:cs="Arial" w:eastAsia="Arial" w:hAnsi="Arial"/>
          <w:color w:val="1C2833"/>
          <w:sz w:val="22"/>
          <w:szCs w:val="22"/>
        </w:rPr>
        <w:t xml:space="preserve">DigiLocker integration: Documents fetched directly from DigiLocker — Aadhaar, PAN, certificates</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4.6.3 Application Workflow</w:t>
      </w:r>
    </w:p>
    <w:p>
      <w:pPr>
        <w:pStyle w:val="ListParagraph"/>
        <w:numPr>
          <w:ilvl w:val="0"/>
          <w:numId w:val="3"/>
        </w:numPr>
        <w:spacing w:after="60" w:before="60"/>
      </w:pPr>
      <w:r>
        <w:rPr>
          <w:rFonts w:ascii="Arial" w:cs="Arial" w:eastAsia="Arial" w:hAnsi="Arial"/>
          <w:color w:val="1C2833"/>
          <w:sz w:val="22"/>
          <w:szCs w:val="22"/>
        </w:rPr>
        <w:t xml:space="preserve">Member initiates scheme application from 'Scheme Hub'</w:t>
      </w:r>
    </w:p>
    <w:p>
      <w:pPr>
        <w:pStyle w:val="ListParagraph"/>
        <w:numPr>
          <w:ilvl w:val="0"/>
          <w:numId w:val="3"/>
        </w:numPr>
        <w:spacing w:after="60" w:before="60"/>
      </w:pPr>
      <w:r>
        <w:rPr>
          <w:rFonts w:ascii="Arial" w:cs="Arial" w:eastAsia="Arial" w:hAnsi="Arial"/>
          <w:color w:val="1C2833"/>
          <w:sz w:val="22"/>
          <w:szCs w:val="22"/>
        </w:rPr>
        <w:t xml:space="preserve">AI engine checks eligibility and shows match score (e.g., 92% match for MUDRA Shishu)</w:t>
      </w:r>
    </w:p>
    <w:p>
      <w:pPr>
        <w:pStyle w:val="ListParagraph"/>
        <w:numPr>
          <w:ilvl w:val="0"/>
          <w:numId w:val="3"/>
        </w:numPr>
        <w:spacing w:after="60" w:before="60"/>
      </w:pPr>
      <w:r>
        <w:rPr>
          <w:rFonts w:ascii="Arial" w:cs="Arial" w:eastAsia="Arial" w:hAnsi="Arial"/>
          <w:color w:val="1C2833"/>
          <w:sz w:val="22"/>
          <w:szCs w:val="22"/>
        </w:rPr>
        <w:t xml:space="preserve">System pre-fills application form using SHG profile data</w:t>
      </w:r>
    </w:p>
    <w:p>
      <w:pPr>
        <w:pStyle w:val="ListParagraph"/>
        <w:numPr>
          <w:ilvl w:val="0"/>
          <w:numId w:val="3"/>
        </w:numPr>
        <w:spacing w:after="60" w:before="60"/>
      </w:pPr>
      <w:r>
        <w:rPr>
          <w:rFonts w:ascii="Arial" w:cs="Arial" w:eastAsia="Arial" w:hAnsi="Arial"/>
          <w:color w:val="1C2833"/>
          <w:sz w:val="22"/>
          <w:szCs w:val="22"/>
        </w:rPr>
        <w:t xml:space="preserve">Member uploads additional documents via camera or DigiLocker</w:t>
      </w:r>
    </w:p>
    <w:p>
      <w:pPr>
        <w:pStyle w:val="ListParagraph"/>
        <w:numPr>
          <w:ilvl w:val="0"/>
          <w:numId w:val="3"/>
        </w:numPr>
        <w:spacing w:after="60" w:before="60"/>
      </w:pPr>
      <w:r>
        <w:rPr>
          <w:rFonts w:ascii="Arial" w:cs="Arial" w:eastAsia="Arial" w:hAnsi="Arial"/>
          <w:color w:val="1C2833"/>
          <w:sz w:val="22"/>
          <w:szCs w:val="22"/>
        </w:rPr>
        <w:t xml:space="preserve">Secretary reviews and approves application</w:t>
      </w:r>
    </w:p>
    <w:p>
      <w:pPr>
        <w:pStyle w:val="ListParagraph"/>
        <w:numPr>
          <w:ilvl w:val="0"/>
          <w:numId w:val="3"/>
        </w:numPr>
        <w:spacing w:after="60" w:before="60"/>
      </w:pPr>
      <w:r>
        <w:rPr>
          <w:rFonts w:ascii="Arial" w:cs="Arial" w:eastAsia="Arial" w:hAnsi="Arial"/>
          <w:color w:val="1C2833"/>
          <w:sz w:val="22"/>
          <w:szCs w:val="22"/>
        </w:rPr>
        <w:t xml:space="preserve">Application submitted to official portal or facilitated via CSC / BankSakhi</w:t>
      </w:r>
    </w:p>
    <w:p>
      <w:pPr>
        <w:pStyle w:val="ListParagraph"/>
        <w:numPr>
          <w:ilvl w:val="0"/>
          <w:numId w:val="3"/>
        </w:numPr>
        <w:spacing w:after="60" w:before="60"/>
      </w:pPr>
      <w:r>
        <w:rPr>
          <w:rFonts w:ascii="Arial" w:cs="Arial" w:eastAsia="Arial" w:hAnsi="Arial"/>
          <w:color w:val="1C2833"/>
          <w:sz w:val="22"/>
          <w:szCs w:val="22"/>
        </w:rPr>
        <w:t xml:space="preserve">Status tracked and updated: Submitted &gt; Under Review &gt; Approved &gt; Disbursed</w:t>
      </w:r>
    </w:p>
    <w:p>
      <w:pPr>
        <w:spacing w:after="0" w:before="100"/>
      </w:pPr>
      <w:r>
        <w:t xml:space="preserve"/>
      </w:r>
    </w:p>
    <w:p>
      <w:pPr>
        <w:pStyle w:val="Heading2"/>
        <w:pBdr>
          <w:bottom w:val="single" w:color="2E86C1" w:sz="4"/>
        </w:pBdr>
        <w:spacing w:after="150" w:before="300"/>
      </w:pPr>
      <w:r>
        <w:rPr>
          <w:rFonts w:ascii="Arial" w:cs="Arial" w:eastAsia="Arial" w:hAnsi="Arial"/>
          <w:b/>
          <w:bCs/>
          <w:color w:val="1A5276"/>
          <w:sz w:val="28"/>
          <w:szCs w:val="28"/>
        </w:rPr>
        <w:t xml:space="preserve">Module 7: Community &amp; Network</w:t>
      </w:r>
    </w:p>
    <w:p>
      <w:pPr>
        <w:shd w:fill="D6EAF8" w:val="clear"/>
        <w:spacing w:after="100" w:before="200"/>
        <w:ind w:left="200" w:right="200"/>
      </w:pPr>
      <w:r>
        <w:rPr>
          <w:rFonts w:ascii="Arial" w:cs="Arial" w:eastAsia="Arial" w:hAnsi="Arial"/>
          <w:b/>
          <w:bCs/>
          <w:color w:val="1A5276"/>
          <w:sz w:val="22"/>
          <w:szCs w:val="22"/>
        </w:rPr>
        <w:t xml:space="preserve">Core Purpose: Build a peer learning and support network across India's SHG ecosystem</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4.7.1 Discussion Forums</w:t>
      </w:r>
    </w:p>
    <w:p>
      <w:pPr>
        <w:pStyle w:val="ListParagraph"/>
        <w:numPr>
          <w:ilvl w:val="0"/>
          <w:numId w:val="2"/>
        </w:numPr>
        <w:spacing w:after="60" w:before="60"/>
      </w:pPr>
      <w:r>
        <w:rPr>
          <w:rFonts w:ascii="Arial" w:cs="Arial" w:eastAsia="Arial" w:hAnsi="Arial"/>
          <w:color w:val="1C2833"/>
          <w:sz w:val="22"/>
          <w:szCs w:val="22"/>
        </w:rPr>
        <w:t xml:space="preserve">Topic-based forums: Business advice, loan experiences, marketplace tips, government schemes, product ideas</w:t>
      </w:r>
    </w:p>
    <w:p>
      <w:pPr>
        <w:pStyle w:val="ListParagraph"/>
        <w:numPr>
          <w:ilvl w:val="0"/>
          <w:numId w:val="2"/>
        </w:numPr>
        <w:spacing w:after="60" w:before="60"/>
      </w:pPr>
      <w:r>
        <w:rPr>
          <w:rFonts w:ascii="Arial" w:cs="Arial" w:eastAsia="Arial" w:hAnsi="Arial"/>
          <w:color w:val="1C2833"/>
          <w:sz w:val="22"/>
          <w:szCs w:val="22"/>
        </w:rPr>
        <w:t xml:space="preserve">Regional forums: State and language-specific communities for localised discussions</w:t>
      </w:r>
    </w:p>
    <w:p>
      <w:pPr>
        <w:pStyle w:val="ListParagraph"/>
        <w:numPr>
          <w:ilvl w:val="0"/>
          <w:numId w:val="2"/>
        </w:numPr>
        <w:spacing w:after="60" w:before="60"/>
      </w:pPr>
      <w:r>
        <w:rPr>
          <w:rFonts w:ascii="Arial" w:cs="Arial" w:eastAsia="Arial" w:hAnsi="Arial"/>
          <w:color w:val="1C2833"/>
          <w:sz w:val="22"/>
          <w:szCs w:val="22"/>
        </w:rPr>
        <w:t xml:space="preserve">Anonymous posting: Option to post anonymously for sensitive topics (group conflicts, domestic issues)</w:t>
      </w:r>
    </w:p>
    <w:p>
      <w:pPr>
        <w:pStyle w:val="ListParagraph"/>
        <w:numPr>
          <w:ilvl w:val="0"/>
          <w:numId w:val="2"/>
        </w:numPr>
        <w:spacing w:after="60" w:before="60"/>
      </w:pPr>
      <w:r>
        <w:rPr>
          <w:rFonts w:ascii="Arial" w:cs="Arial" w:eastAsia="Arial" w:hAnsi="Arial"/>
          <w:color w:val="1C2833"/>
          <w:sz w:val="22"/>
          <w:szCs w:val="22"/>
        </w:rPr>
        <w:t xml:space="preserve">Expert answers: Verified NGO workers, bank officers, and government officials can answer questions</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4.7.2 Success Stories</w:t>
      </w:r>
    </w:p>
    <w:p>
      <w:pPr>
        <w:pStyle w:val="ListParagraph"/>
        <w:numPr>
          <w:ilvl w:val="0"/>
          <w:numId w:val="2"/>
        </w:numPr>
        <w:spacing w:after="60" w:before="60"/>
      </w:pPr>
      <w:r>
        <w:rPr>
          <w:rFonts w:ascii="Arial" w:cs="Arial" w:eastAsia="Arial" w:hAnsi="Arial"/>
          <w:color w:val="1C2833"/>
          <w:sz w:val="22"/>
          <w:szCs w:val="22"/>
        </w:rPr>
        <w:t xml:space="preserve">Featured stories: Curated SHG success journeys with before/after metrics</w:t>
      </w:r>
    </w:p>
    <w:p>
      <w:pPr>
        <w:pStyle w:val="ListParagraph"/>
        <w:numPr>
          <w:ilvl w:val="0"/>
          <w:numId w:val="2"/>
        </w:numPr>
        <w:spacing w:after="60" w:before="60"/>
      </w:pPr>
      <w:r>
        <w:rPr>
          <w:rFonts w:ascii="Arial" w:cs="Arial" w:eastAsia="Arial" w:hAnsi="Arial"/>
          <w:color w:val="1C2833"/>
          <w:sz w:val="22"/>
          <w:szCs w:val="22"/>
        </w:rPr>
        <w:t xml:space="preserve">Video testimonials: Short-form video stories from SHG members across India</w:t>
      </w:r>
    </w:p>
    <w:p>
      <w:pPr>
        <w:pStyle w:val="ListParagraph"/>
        <w:numPr>
          <w:ilvl w:val="0"/>
          <w:numId w:val="2"/>
        </w:numPr>
        <w:spacing w:after="60" w:before="60"/>
      </w:pPr>
      <w:r>
        <w:rPr>
          <w:rFonts w:ascii="Arial" w:cs="Arial" w:eastAsia="Arial" w:hAnsi="Arial"/>
          <w:color w:val="1C2833"/>
          <w:sz w:val="22"/>
          <w:szCs w:val="22"/>
        </w:rPr>
        <w:t xml:space="preserve">Impact metrics: Real-time counter showing platform-wide loans disbursed, products sold, courses completed</w:t>
      </w:r>
    </w:p>
    <w:p>
      <w:pPr>
        <w:spacing w:after="0" w:before="100"/>
      </w:pPr>
      <w:r>
        <w:t xml:space="preserve"/>
      </w:r>
    </w:p>
    <w:p>
      <w:pPr>
        <w:pStyle w:val="Heading3"/>
        <w:spacing w:after="100" w:before="200"/>
      </w:pPr>
      <w:r>
        <w:rPr>
          <w:rFonts w:ascii="Arial" w:cs="Arial" w:eastAsia="Arial" w:hAnsi="Arial"/>
          <w:b/>
          <w:bCs/>
          <w:color w:val="2E86C1"/>
          <w:sz w:val="24"/>
          <w:szCs w:val="24"/>
        </w:rPr>
        <w:t xml:space="preserve">4.7.3 Mentor Marketplace</w:t>
      </w:r>
    </w:p>
    <w:p>
      <w:pPr>
        <w:pStyle w:val="ListParagraph"/>
        <w:numPr>
          <w:ilvl w:val="0"/>
          <w:numId w:val="2"/>
        </w:numPr>
        <w:spacing w:after="60" w:before="60"/>
      </w:pPr>
      <w:r>
        <w:rPr>
          <w:rFonts w:ascii="Arial" w:cs="Arial" w:eastAsia="Arial" w:hAnsi="Arial"/>
          <w:color w:val="1C2833"/>
          <w:sz w:val="22"/>
          <w:szCs w:val="22"/>
        </w:rPr>
        <w:t xml:space="preserve">Mentor profiles: NGO workers, retired bank officers, women entrepreneurs available as mentors</w:t>
      </w:r>
    </w:p>
    <w:p>
      <w:pPr>
        <w:pStyle w:val="ListParagraph"/>
        <w:numPr>
          <w:ilvl w:val="0"/>
          <w:numId w:val="2"/>
        </w:numPr>
        <w:spacing w:after="60" w:before="60"/>
      </w:pPr>
      <w:r>
        <w:rPr>
          <w:rFonts w:ascii="Arial" w:cs="Arial" w:eastAsia="Arial" w:hAnsi="Arial"/>
          <w:color w:val="1C2833"/>
          <w:sz w:val="22"/>
          <w:szCs w:val="22"/>
        </w:rPr>
        <w:t xml:space="preserve">1:1 booking: SHG members can book 30-minute virtual mentoring sessions</w:t>
      </w:r>
    </w:p>
    <w:p>
      <w:pPr>
        <w:pStyle w:val="ListParagraph"/>
        <w:numPr>
          <w:ilvl w:val="0"/>
          <w:numId w:val="2"/>
        </w:numPr>
        <w:spacing w:after="60" w:before="60"/>
      </w:pPr>
      <w:r>
        <w:rPr>
          <w:rFonts w:ascii="Arial" w:cs="Arial" w:eastAsia="Arial" w:hAnsi="Arial"/>
          <w:color w:val="1C2833"/>
          <w:sz w:val="22"/>
          <w:szCs w:val="22"/>
        </w:rPr>
        <w:t xml:space="preserve">Group webinars: Live masterclasses by successful SHG entrepreneurs and scheme officers</w:t>
      </w:r>
    </w:p>
    <w:p>
      <w:r>
        <w:br w:type="page"/>
      </w:r>
    </w:p>
    <w:p>
      <w:pPr>
        <w:pStyle w:val="Heading1"/>
        <w:shd w:fill="1A5276" w:val="clear"/>
        <w:spacing w:after="200" w:before="400"/>
        <w:ind w:left="200" w:right="200"/>
      </w:pPr>
      <w:r>
        <w:rPr>
          <w:rFonts w:ascii="Arial" w:cs="Arial" w:eastAsia="Arial" w:hAnsi="Arial"/>
          <w:b/>
          <w:bCs/>
          <w:color w:val="FFFFFF"/>
          <w:sz w:val="36"/>
          <w:szCs w:val="36"/>
        </w:rPr>
        <w:t xml:space="preserve">5. USER JOURNEY MAPS</w:t>
      </w:r>
    </w:p>
    <w:p>
      <w:pPr>
        <w:spacing w:after="0" w:before="100"/>
      </w:pPr>
      <w:r>
        <w:t xml:space="preserve"/>
      </w:r>
    </w:p>
    <w:p>
      <w:pPr>
        <w:pStyle w:val="Heading2"/>
        <w:pBdr>
          <w:bottom w:val="single" w:color="2E86C1" w:sz="4"/>
        </w:pBdr>
        <w:spacing w:after="150" w:before="300"/>
      </w:pPr>
      <w:r>
        <w:rPr>
          <w:rFonts w:ascii="Arial" w:cs="Arial" w:eastAsia="Arial" w:hAnsi="Arial"/>
          <w:b/>
          <w:bCs/>
          <w:color w:val="1A5276"/>
          <w:sz w:val="28"/>
          <w:szCs w:val="28"/>
        </w:rPr>
        <w:t xml:space="preserve">5.1 New SHG Formation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3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User Action &amp; Platform Response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1. Discovery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SHG leader hears about Setu via NRLM worker / radio / WhatsApp. Downloads app from Play Store.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2. Registration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Group leader enters SHG name, location, Aadhaar OTP verification. SHG unique ID generated.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3. Member Addition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Leader adds 10–20 members via phone number / Aadhaar. Each member receives SMS with app download link.</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4. First Meeting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App prompts leader to record first meeting. Attendance marked. Agenda logged. Meeting minutes voice-recorded.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5. Savings Setup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Leader sets weekly savings amount (e.g., ₹100/member). First savings round recorded.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6. Profile Completion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Platform prompts to add bank account, upload bank passbook, complete KYC. SHG Score calculated at 35/100.</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7. Scheme Discovery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AI engine identifies 3 eligible schemes. Platform guides application for MUDRA Shishu loan.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8. Learning Start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Leader recommended 'SHG Management 101' course. Completes in 3 sessions. Certificate earned.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9. First Loan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After 3 months of regular savings, SHG Score reaches 65/100. Bank loan application auto-prepared.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10. Marketplace Launch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Member lists first 5 products. First order received within 7 days from verified buyer.</w:t>
            </w:r>
          </w:p>
        </w:tc>
      </w:tr>
    </w:tbl>
    <w:p>
      <w:pPr>
        <w:spacing w:after="0" w:before="100"/>
      </w:pPr>
      <w:r>
        <w:t xml:space="preserve"/>
      </w:r>
    </w:p>
    <w:p>
      <w:pPr>
        <w:pStyle w:val="Heading2"/>
        <w:pBdr>
          <w:bottom w:val="single" w:color="2E86C1" w:sz="4"/>
        </w:pBdr>
        <w:spacing w:after="150" w:before="300"/>
      </w:pPr>
      <w:r>
        <w:rPr>
          <w:rFonts w:ascii="Arial" w:cs="Arial" w:eastAsia="Arial" w:hAnsi="Arial"/>
          <w:b/>
          <w:bCs/>
          <w:color w:val="1A5276"/>
          <w:sz w:val="28"/>
          <w:szCs w:val="28"/>
        </w:rPr>
        <w:t xml:space="preserve">5.2 Loan Application Journey</w:t>
      </w:r>
    </w:p>
    <w:p>
      <w:pPr>
        <w:pStyle w:val="ListParagraph"/>
        <w:numPr>
          <w:ilvl w:val="0"/>
          <w:numId w:val="3"/>
        </w:numPr>
        <w:spacing w:after="60" w:before="60"/>
      </w:pPr>
      <w:r>
        <w:rPr>
          <w:rFonts w:ascii="Arial" w:cs="Arial" w:eastAsia="Arial" w:hAnsi="Arial"/>
          <w:color w:val="1C2833"/>
          <w:sz w:val="22"/>
          <w:szCs w:val="22"/>
        </w:rPr>
        <w:t xml:space="preserve">Member opens 'Finance' tab → 'Apply for Loan'</w:t>
      </w:r>
    </w:p>
    <w:p>
      <w:pPr>
        <w:pStyle w:val="ListParagraph"/>
        <w:numPr>
          <w:ilvl w:val="0"/>
          <w:numId w:val="3"/>
        </w:numPr>
        <w:spacing w:after="60" w:before="60"/>
      </w:pPr>
      <w:r>
        <w:rPr>
          <w:rFonts w:ascii="Arial" w:cs="Arial" w:eastAsia="Arial" w:hAnsi="Arial"/>
          <w:color w:val="1C2833"/>
          <w:sz w:val="22"/>
          <w:szCs w:val="22"/>
        </w:rPr>
        <w:t xml:space="preserve">Fills purpose (business expansion), amount (₹25,000), tenure (12 months)</w:t>
      </w:r>
    </w:p>
    <w:p>
      <w:pPr>
        <w:pStyle w:val="ListParagraph"/>
        <w:numPr>
          <w:ilvl w:val="0"/>
          <w:numId w:val="3"/>
        </w:numPr>
        <w:spacing w:after="60" w:before="60"/>
      </w:pPr>
      <w:r>
        <w:rPr>
          <w:rFonts w:ascii="Arial" w:cs="Arial" w:eastAsia="Arial" w:hAnsi="Arial"/>
          <w:color w:val="1C2833"/>
          <w:sz w:val="22"/>
          <w:szCs w:val="22"/>
        </w:rPr>
        <w:t xml:space="preserve">System calculates EMI: ₹2,291/month at 12% PA and shows affordability check</w:t>
      </w:r>
    </w:p>
    <w:p>
      <w:pPr>
        <w:pStyle w:val="ListParagraph"/>
        <w:numPr>
          <w:ilvl w:val="0"/>
          <w:numId w:val="3"/>
        </w:numPr>
        <w:spacing w:after="60" w:before="60"/>
      </w:pPr>
      <w:r>
        <w:rPr>
          <w:rFonts w:ascii="Arial" w:cs="Arial" w:eastAsia="Arial" w:hAnsi="Arial"/>
          <w:color w:val="1C2833"/>
          <w:sz w:val="22"/>
          <w:szCs w:val="22"/>
        </w:rPr>
        <w:t xml:space="preserve">Group president and secretary receive notification for approval</w:t>
      </w:r>
    </w:p>
    <w:p>
      <w:pPr>
        <w:pStyle w:val="ListParagraph"/>
        <w:numPr>
          <w:ilvl w:val="0"/>
          <w:numId w:val="3"/>
        </w:numPr>
        <w:spacing w:after="60" w:before="60"/>
      </w:pPr>
      <w:r>
        <w:rPr>
          <w:rFonts w:ascii="Arial" w:cs="Arial" w:eastAsia="Arial" w:hAnsi="Arial"/>
          <w:color w:val="1C2833"/>
          <w:sz w:val="22"/>
          <w:szCs w:val="22"/>
        </w:rPr>
        <w:t xml:space="preserve">Quorum vote: 8 of 12 members approve → Loan sanctioned within group</w:t>
      </w:r>
    </w:p>
    <w:p>
      <w:pPr>
        <w:pStyle w:val="ListParagraph"/>
        <w:numPr>
          <w:ilvl w:val="0"/>
          <w:numId w:val="3"/>
        </w:numPr>
        <w:spacing w:after="60" w:before="60"/>
      </w:pPr>
      <w:r>
        <w:rPr>
          <w:rFonts w:ascii="Arial" w:cs="Arial" w:eastAsia="Arial" w:hAnsi="Arial"/>
          <w:color w:val="1C2833"/>
          <w:sz w:val="22"/>
          <w:szCs w:val="22"/>
        </w:rPr>
        <w:t xml:space="preserve">If external bank loan: Auto-filled bank application generated. Secretary submits to bank.</w:t>
      </w:r>
    </w:p>
    <w:p>
      <w:pPr>
        <w:pStyle w:val="ListParagraph"/>
        <w:numPr>
          <w:ilvl w:val="0"/>
          <w:numId w:val="3"/>
        </w:numPr>
        <w:spacing w:after="60" w:before="60"/>
      </w:pPr>
      <w:r>
        <w:rPr>
          <w:rFonts w:ascii="Arial" w:cs="Arial" w:eastAsia="Arial" w:hAnsi="Arial"/>
          <w:color w:val="1C2833"/>
          <w:sz w:val="22"/>
          <w:szCs w:val="22"/>
        </w:rPr>
        <w:t xml:space="preserve">Bank officer accesses SHG Credit Score via API — approves loan in 72 hours</w:t>
      </w:r>
    </w:p>
    <w:p>
      <w:pPr>
        <w:pStyle w:val="ListParagraph"/>
        <w:numPr>
          <w:ilvl w:val="0"/>
          <w:numId w:val="3"/>
        </w:numPr>
        <w:spacing w:after="60" w:before="60"/>
      </w:pPr>
      <w:r>
        <w:rPr>
          <w:rFonts w:ascii="Arial" w:cs="Arial" w:eastAsia="Arial" w:hAnsi="Arial"/>
          <w:color w:val="1C2833"/>
          <w:sz w:val="22"/>
          <w:szCs w:val="22"/>
        </w:rPr>
        <w:t xml:space="preserve">Disbursement to SHG bank account. Platform automatically records receipt.</w:t>
      </w:r>
    </w:p>
    <w:p>
      <w:pPr>
        <w:pStyle w:val="ListParagraph"/>
        <w:numPr>
          <w:ilvl w:val="0"/>
          <w:numId w:val="3"/>
        </w:numPr>
        <w:spacing w:after="60" w:before="60"/>
      </w:pPr>
      <w:r>
        <w:rPr>
          <w:rFonts w:ascii="Arial" w:cs="Arial" w:eastAsia="Arial" w:hAnsi="Arial"/>
          <w:color w:val="1C2833"/>
          <w:sz w:val="22"/>
          <w:szCs w:val="22"/>
        </w:rPr>
        <w:t xml:space="preserve">EMI reminders sent via WhatsApp 3 days before each due date</w:t>
      </w:r>
    </w:p>
    <w:p>
      <w:pPr>
        <w:pStyle w:val="ListParagraph"/>
        <w:numPr>
          <w:ilvl w:val="0"/>
          <w:numId w:val="3"/>
        </w:numPr>
        <w:spacing w:after="60" w:before="60"/>
      </w:pPr>
      <w:r>
        <w:rPr>
          <w:rFonts w:ascii="Arial" w:cs="Arial" w:eastAsia="Arial" w:hAnsi="Arial"/>
          <w:color w:val="1C2833"/>
          <w:sz w:val="22"/>
          <w:szCs w:val="22"/>
        </w:rPr>
        <w:t xml:space="preserve">Repayment completion → credit score improves → next loan eligibility increases</w:t>
      </w:r>
    </w:p>
    <w:p>
      <w:r>
        <w:br w:type="page"/>
      </w:r>
    </w:p>
    <w:p>
      <w:pPr>
        <w:pStyle w:val="Heading1"/>
        <w:shd w:fill="1A5276" w:val="clear"/>
        <w:spacing w:after="200" w:before="400"/>
        <w:ind w:left="200" w:right="200"/>
      </w:pPr>
      <w:r>
        <w:rPr>
          <w:rFonts w:ascii="Arial" w:cs="Arial" w:eastAsia="Arial" w:hAnsi="Arial"/>
          <w:b/>
          <w:bCs/>
          <w:color w:val="FFFFFF"/>
          <w:sz w:val="36"/>
          <w:szCs w:val="36"/>
        </w:rPr>
        <w:t xml:space="preserve">6. PRODUCT SUCCESS METRICS &amp; KPIs</w:t>
      </w:r>
    </w:p>
    <w:p>
      <w:pPr>
        <w:spacing w:after="0" w:before="100"/>
      </w:pPr>
      <w:r>
        <w:t xml:space="preserve"/>
      </w:r>
    </w:p>
    <w:p>
      <w:pPr>
        <w:spacing w:after="80" w:before="80"/>
      </w:pPr>
      <w:r>
        <w:rPr>
          <w:rFonts w:ascii="Arial" w:cs="Arial" w:eastAsia="Arial" w:hAnsi="Arial"/>
          <w:color w:val="1C2833"/>
          <w:sz w:val="22"/>
          <w:szCs w:val="22"/>
        </w:rPr>
        <w:t xml:space="preserve">Setu SHG OS tracks success across three levels: User Adoption, Economic Impact, and Platform Health. These metrics are tracked in real-time on the stakeholder dashboard.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 Category</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Performance Indicator</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 (Year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User Adoption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Registered SHG Members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10 Million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User Adoption</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Active Monthly Users (MAU)</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5 Million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User Adoption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SHGs Onboarded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500,000</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Financial Impact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Total Loans Facilitated</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₹5,000 Crore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Financial Impact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Average Loan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₹35,000</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Financial Impact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Loan Repayment Rate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&gt;94%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Marketplace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Gross Merchandise Value (GMV)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₹1,000 Crore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Marketplace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Active Sellers (SHG Groups)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100,000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Marketplace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Repeat Buyer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&gt;45%</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Learning</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Course Completions (Total)</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50 Million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Learning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Certification Issued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10 Million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Governance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Digital Attendance Tracking Rate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&gt;90%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AI Usage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Monthly AI Copilot Interactions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20 Million</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Government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Schemes Applied Through Platform</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2 Million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Government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Scheme Approval Rate (Platform-aided)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&gt;65%</w:t>
            </w:r>
          </w:p>
        </w:tc>
      </w:tr>
    </w:tbl>
    <w:p>
      <w:r>
        <w:br w:type="page"/>
      </w:r>
    </w:p>
    <w:p>
      <w:pPr>
        <w:pStyle w:val="Heading1"/>
        <w:shd w:fill="1A5276" w:val="clear"/>
        <w:spacing w:after="200" w:before="400"/>
        <w:ind w:left="200" w:right="200"/>
      </w:pPr>
      <w:r>
        <w:rPr>
          <w:rFonts w:ascii="Arial" w:cs="Arial" w:eastAsia="Arial" w:hAnsi="Arial"/>
          <w:b/>
          <w:bCs/>
          <w:color w:val="FFFFFF"/>
          <w:sz w:val="36"/>
          <w:szCs w:val="36"/>
        </w:rPr>
        <w:t xml:space="preserve">7. NON-FUNCTIONAL REQUIREMENTS</w:t>
      </w:r>
    </w:p>
    <w:p>
      <w:pPr>
        <w:spacing w:after="0" w:before="100"/>
      </w:pPr>
      <w:r>
        <w:t xml:space="preserve"/>
      </w:r>
    </w:p>
    <w:p>
      <w:pPr>
        <w:pStyle w:val="Heading2"/>
        <w:pBdr>
          <w:bottom w:val="single" w:color="2E86C1" w:sz="4"/>
        </w:pBdr>
        <w:spacing w:after="150" w:before="300"/>
      </w:pPr>
      <w:r>
        <w:rPr>
          <w:rFonts w:ascii="Arial" w:cs="Arial" w:eastAsia="Arial" w:hAnsi="Arial"/>
          <w:b/>
          <w:bCs/>
          <w:color w:val="1A5276"/>
          <w:sz w:val="28"/>
          <w:szCs w:val="28"/>
        </w:rPr>
        <w:t xml:space="preserve">7.1 Accessibility &amp; Inclusivity</w:t>
      </w:r>
    </w:p>
    <w:p>
      <w:pPr>
        <w:pStyle w:val="ListParagraph"/>
        <w:numPr>
          <w:ilvl w:val="0"/>
          <w:numId w:val="2"/>
        </w:numPr>
        <w:spacing w:after="60" w:before="60"/>
      </w:pPr>
      <w:r>
        <w:rPr>
          <w:rFonts w:ascii="Arial" w:cs="Arial" w:eastAsia="Arial" w:hAnsi="Arial"/>
          <w:color w:val="1C2833"/>
          <w:sz w:val="22"/>
          <w:szCs w:val="22"/>
        </w:rPr>
        <w:t xml:space="preserve">Offline-first: Core features (attendance, savings, loan recording) function without internet</w:t>
      </w:r>
    </w:p>
    <w:p>
      <w:pPr>
        <w:pStyle w:val="ListParagraph"/>
        <w:numPr>
          <w:ilvl w:val="0"/>
          <w:numId w:val="2"/>
        </w:numPr>
        <w:spacing w:after="60" w:before="60"/>
      </w:pPr>
      <w:r>
        <w:rPr>
          <w:rFonts w:ascii="Arial" w:cs="Arial" w:eastAsia="Arial" w:hAnsi="Arial"/>
          <w:color w:val="1C2833"/>
          <w:sz w:val="22"/>
          <w:szCs w:val="22"/>
        </w:rPr>
        <w:t xml:space="preserve">Low-end device support: Runs on devices with 1GB RAM, Android 6.0+, 50MB app size</w:t>
      </w:r>
    </w:p>
    <w:p>
      <w:pPr>
        <w:pStyle w:val="ListParagraph"/>
        <w:numPr>
          <w:ilvl w:val="0"/>
          <w:numId w:val="2"/>
        </w:numPr>
        <w:spacing w:after="60" w:before="60"/>
      </w:pPr>
      <w:r>
        <w:rPr>
          <w:rFonts w:ascii="Arial" w:cs="Arial" w:eastAsia="Arial" w:hAnsi="Arial"/>
          <w:color w:val="1C2833"/>
          <w:sz w:val="22"/>
          <w:szCs w:val="22"/>
        </w:rPr>
        <w:t xml:space="preserve">Slow network: Optimised for 2G/Edge connectivity — compressed assets, lazy loading</w:t>
      </w:r>
    </w:p>
    <w:p>
      <w:pPr>
        <w:pStyle w:val="ListParagraph"/>
        <w:numPr>
          <w:ilvl w:val="0"/>
          <w:numId w:val="2"/>
        </w:numPr>
        <w:spacing w:after="60" w:before="60"/>
      </w:pPr>
      <w:r>
        <w:rPr>
          <w:rFonts w:ascii="Arial" w:cs="Arial" w:eastAsia="Arial" w:hAnsi="Arial"/>
          <w:color w:val="1C2833"/>
          <w:sz w:val="22"/>
          <w:szCs w:val="22"/>
        </w:rPr>
        <w:t xml:space="preserve">Accessibility: Screen reader support, large text option, high-contrast mode</w:t>
      </w:r>
    </w:p>
    <w:p>
      <w:pPr>
        <w:pStyle w:val="ListParagraph"/>
        <w:numPr>
          <w:ilvl w:val="0"/>
          <w:numId w:val="2"/>
        </w:numPr>
        <w:spacing w:after="60" w:before="60"/>
      </w:pPr>
      <w:r>
        <w:rPr>
          <w:rFonts w:ascii="Arial" w:cs="Arial" w:eastAsia="Arial" w:hAnsi="Arial"/>
          <w:color w:val="1C2833"/>
          <w:sz w:val="22"/>
          <w:szCs w:val="22"/>
        </w:rPr>
        <w:t xml:space="preserve">Literacy-adaptive UI: Icon-first interface with voice labels — readable at Class 5 literacy level</w:t>
      </w:r>
    </w:p>
    <w:p>
      <w:pPr>
        <w:spacing w:after="0" w:before="100"/>
      </w:pPr>
      <w:r>
        <w:t xml:space="preserve"/>
      </w:r>
    </w:p>
    <w:p>
      <w:pPr>
        <w:pStyle w:val="Heading2"/>
        <w:pBdr>
          <w:bottom w:val="single" w:color="2E86C1" w:sz="4"/>
        </w:pBdr>
        <w:spacing w:after="150" w:before="300"/>
      </w:pPr>
      <w:r>
        <w:rPr>
          <w:rFonts w:ascii="Arial" w:cs="Arial" w:eastAsia="Arial" w:hAnsi="Arial"/>
          <w:b/>
          <w:bCs/>
          <w:color w:val="1A5276"/>
          <w:sz w:val="28"/>
          <w:szCs w:val="28"/>
        </w:rPr>
        <w:t xml:space="preserve">7.2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8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Target Specification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App Launch Time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&lt; 3 seconds on mid-range Android</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API Response Time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&lt; 500ms for 95th percentile requests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Screen Load Time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&lt; 2 seconds on 3G connection</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Offline Sync Time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&lt; 30 seconds for full sync on reconnect</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Platform Uptime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99.9% (&lt; 8.7 hours downtime/year)</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Concurrent Users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500,000 simultaneous active users</w:t>
            </w:r>
          </w:p>
        </w:tc>
      </w:tr>
      <w:tr>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Data Refresh 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Financial data updates within 60 seconds</w:t>
            </w:r>
          </w:p>
        </w:tc>
      </w:tr>
    </w:tbl>
    <w:p>
      <w:pPr>
        <w:spacing w:after="0" w:before="100"/>
      </w:pPr>
      <w:r>
        <w:t xml:space="preserve"/>
      </w:r>
    </w:p>
    <w:p>
      <w:pPr>
        <w:pStyle w:val="Heading2"/>
        <w:pBdr>
          <w:bottom w:val="single" w:color="2E86C1" w:sz="4"/>
        </w:pBdr>
        <w:spacing w:after="150" w:before="300"/>
      </w:pPr>
      <w:r>
        <w:rPr>
          <w:rFonts w:ascii="Arial" w:cs="Arial" w:eastAsia="Arial" w:hAnsi="Arial"/>
          <w:b/>
          <w:bCs/>
          <w:color w:val="1A5276"/>
          <w:sz w:val="28"/>
          <w:szCs w:val="28"/>
        </w:rPr>
        <w:t xml:space="preserve">7.3 Security &amp; Privacy</w:t>
      </w:r>
    </w:p>
    <w:p>
      <w:pPr>
        <w:pStyle w:val="ListParagraph"/>
        <w:numPr>
          <w:ilvl w:val="0"/>
          <w:numId w:val="2"/>
        </w:numPr>
        <w:spacing w:after="60" w:before="60"/>
      </w:pPr>
      <w:r>
        <w:rPr>
          <w:rFonts w:ascii="Arial" w:cs="Arial" w:eastAsia="Arial" w:hAnsi="Arial"/>
          <w:color w:val="1C2833"/>
          <w:sz w:val="22"/>
          <w:szCs w:val="22"/>
        </w:rPr>
        <w:t xml:space="preserve">DPDP Act 2023 compliance: Full data consent management, right to erasure, data localisation</w:t>
      </w:r>
    </w:p>
    <w:p>
      <w:pPr>
        <w:pStyle w:val="ListParagraph"/>
        <w:numPr>
          <w:ilvl w:val="0"/>
          <w:numId w:val="2"/>
        </w:numPr>
        <w:spacing w:after="60" w:before="60"/>
      </w:pPr>
      <w:r>
        <w:rPr>
          <w:rFonts w:ascii="Arial" w:cs="Arial" w:eastAsia="Arial" w:hAnsi="Arial"/>
          <w:color w:val="1C2833"/>
          <w:sz w:val="22"/>
          <w:szCs w:val="22"/>
        </w:rPr>
        <w:t xml:space="preserve">RBI guidelines: Compliance with RBI's Digital Lending Guidelines (2022)</w:t>
      </w:r>
    </w:p>
    <w:p>
      <w:pPr>
        <w:pStyle w:val="ListParagraph"/>
        <w:numPr>
          <w:ilvl w:val="0"/>
          <w:numId w:val="2"/>
        </w:numPr>
        <w:spacing w:after="60" w:before="60"/>
      </w:pPr>
      <w:r>
        <w:rPr>
          <w:rFonts w:ascii="Arial" w:cs="Arial" w:eastAsia="Arial" w:hAnsi="Arial"/>
          <w:color w:val="1C2833"/>
          <w:sz w:val="22"/>
          <w:szCs w:val="22"/>
        </w:rPr>
        <w:t xml:space="preserve">Aadhaar: UIDAI-certified AUA/KUA agency compliance for Aadhaar usage</w:t>
      </w:r>
    </w:p>
    <w:p>
      <w:pPr>
        <w:pStyle w:val="ListParagraph"/>
        <w:numPr>
          <w:ilvl w:val="0"/>
          <w:numId w:val="2"/>
        </w:numPr>
        <w:spacing w:after="60" w:before="60"/>
      </w:pPr>
      <w:r>
        <w:rPr>
          <w:rFonts w:ascii="Arial" w:cs="Arial" w:eastAsia="Arial" w:hAnsi="Arial"/>
          <w:color w:val="1C2833"/>
          <w:sz w:val="22"/>
          <w:szCs w:val="22"/>
        </w:rPr>
        <w:t xml:space="preserve">Data encryption: AES-256 at rest, TLS 1.3 in transit</w:t>
      </w:r>
    </w:p>
    <w:p>
      <w:pPr>
        <w:pStyle w:val="ListParagraph"/>
        <w:numPr>
          <w:ilvl w:val="0"/>
          <w:numId w:val="2"/>
        </w:numPr>
        <w:spacing w:after="60" w:before="60"/>
      </w:pPr>
      <w:r>
        <w:rPr>
          <w:rFonts w:ascii="Arial" w:cs="Arial" w:eastAsia="Arial" w:hAnsi="Arial"/>
          <w:color w:val="1C2833"/>
          <w:sz w:val="22"/>
          <w:szCs w:val="22"/>
        </w:rPr>
        <w:t xml:space="preserve">Zero PII in logs: All logging pipelines strip personally identifiable information</w:t>
      </w:r>
    </w:p>
    <w:p>
      <w:pPr>
        <w:pStyle w:val="ListParagraph"/>
        <w:numPr>
          <w:ilvl w:val="0"/>
          <w:numId w:val="2"/>
        </w:numPr>
        <w:spacing w:after="60" w:before="60"/>
      </w:pPr>
      <w:r>
        <w:rPr>
          <w:rFonts w:ascii="Arial" w:cs="Arial" w:eastAsia="Arial" w:hAnsi="Arial"/>
          <w:color w:val="1C2833"/>
          <w:sz w:val="22"/>
          <w:szCs w:val="22"/>
        </w:rPr>
        <w:t xml:space="preserve">Audit trail: Immutable transaction log with cryptographic integrity verification</w:t>
      </w:r>
    </w:p>
    <w:p>
      <w:r>
        <w:br w:type="page"/>
      </w:r>
    </w:p>
    <w:p>
      <w:pPr>
        <w:pStyle w:val="Heading1"/>
        <w:shd w:fill="1A5276" w:val="clear"/>
        <w:spacing w:after="200" w:before="400"/>
        <w:ind w:left="200" w:right="200"/>
      </w:pPr>
      <w:r>
        <w:rPr>
          <w:rFonts w:ascii="Arial" w:cs="Arial" w:eastAsia="Arial" w:hAnsi="Arial"/>
          <w:b/>
          <w:bCs/>
          <w:color w:val="FFFFFF"/>
          <w:sz w:val="36"/>
          <w:szCs w:val="36"/>
        </w:rPr>
        <w:t xml:space="preserve">8. LOCALISATION &amp; MULTILINGUAL STRATEGY</w:t>
      </w:r>
    </w:p>
    <w:p>
      <w:pPr>
        <w:spacing w:after="0" w:before="100"/>
      </w:pPr>
      <w:r>
        <w:t xml:space="preserve"/>
      </w:r>
    </w:p>
    <w:p>
      <w:pPr>
        <w:spacing w:after="80" w:before="80"/>
      </w:pPr>
      <w:r>
        <w:rPr>
          <w:rFonts w:ascii="Arial" w:cs="Arial" w:eastAsia="Arial" w:hAnsi="Arial"/>
          <w:color w:val="1C2833"/>
          <w:sz w:val="22"/>
          <w:szCs w:val="22"/>
        </w:rPr>
        <w:t xml:space="preserve">Language is the single most critical barrier for rural Indian users. Setu SHG OS treats multilingual support not as a feature but as foundational architecture. Every layer — UI, content, AI, customer support — is designed natively multilingual.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 State(s)</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Launch Phase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Hindi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UP, Bihar, MP, Rajasthan, Uttarakhand, Jharkhand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1 (Launch)</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Tamil</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Tamil Nadu, Puducherry</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1 (Launch)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Telugu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Andhra Pradesh, Telangana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1 (Launch)</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Marathi</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Maharashtra</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1 (Launch)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Bengali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West Bengal, Assam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2</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Odia</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Odisha</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Kannada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Karnataka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2</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Gujarati</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Gujarat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Punjabi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Punjab, Haryana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3</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Malayalam</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Kerala</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Assamese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Assam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3</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Maithili</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Bihar, Jharkhand</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3</w:t>
            </w:r>
          </w:p>
        </w:tc>
      </w:tr>
    </w:tbl>
    <w:p>
      <w:pPr>
        <w:spacing w:after="0" w:before="100"/>
      </w:pPr>
      <w:r>
        <w:t xml:space="preserve"/>
      </w:r>
    </w:p>
    <w:p>
      <w:pPr>
        <w:pStyle w:val="Heading2"/>
        <w:pBdr>
          <w:bottom w:val="single" w:color="2E86C1" w:sz="4"/>
        </w:pBdr>
        <w:spacing w:after="150" w:before="300"/>
      </w:pPr>
      <w:r>
        <w:rPr>
          <w:rFonts w:ascii="Arial" w:cs="Arial" w:eastAsia="Arial" w:hAnsi="Arial"/>
          <w:b/>
          <w:bCs/>
          <w:color w:val="1A5276"/>
          <w:sz w:val="28"/>
          <w:szCs w:val="28"/>
        </w:rPr>
        <w:t xml:space="preserve">8.1 Translation Architecture</w:t>
      </w:r>
    </w:p>
    <w:p>
      <w:pPr>
        <w:pStyle w:val="ListParagraph"/>
        <w:numPr>
          <w:ilvl w:val="0"/>
          <w:numId w:val="2"/>
        </w:numPr>
        <w:spacing w:after="60" w:before="60"/>
      </w:pPr>
      <w:r>
        <w:rPr>
          <w:rFonts w:ascii="Arial" w:cs="Arial" w:eastAsia="Arial" w:hAnsi="Arial"/>
          <w:color w:val="1C2833"/>
          <w:sz w:val="22"/>
          <w:szCs w:val="22"/>
        </w:rPr>
        <w:t xml:space="preserve">Translation memory: Professional translators build term glossaries for financial and legal terms</w:t>
      </w:r>
    </w:p>
    <w:p>
      <w:pPr>
        <w:pStyle w:val="ListParagraph"/>
        <w:numPr>
          <w:ilvl w:val="0"/>
          <w:numId w:val="2"/>
        </w:numPr>
        <w:spacing w:after="60" w:before="60"/>
      </w:pPr>
      <w:r>
        <w:rPr>
          <w:rFonts w:ascii="Arial" w:cs="Arial" w:eastAsia="Arial" w:hAnsi="Arial"/>
          <w:color w:val="1C2833"/>
          <w:sz w:val="22"/>
          <w:szCs w:val="22"/>
        </w:rPr>
        <w:t xml:space="preserve">UI strings: All UI text managed via i18n framework with language-specific font rendering</w:t>
      </w:r>
    </w:p>
    <w:p>
      <w:pPr>
        <w:pStyle w:val="ListParagraph"/>
        <w:numPr>
          <w:ilvl w:val="0"/>
          <w:numId w:val="2"/>
        </w:numPr>
        <w:spacing w:after="60" w:before="60"/>
      </w:pPr>
      <w:r>
        <w:rPr>
          <w:rFonts w:ascii="Arial" w:cs="Arial" w:eastAsia="Arial" w:hAnsi="Arial"/>
          <w:color w:val="1C2833"/>
          <w:sz w:val="22"/>
          <w:szCs w:val="22"/>
        </w:rPr>
        <w:t xml:space="preserve">Voice UI: Every button and screen has a voice label in the selected language</w:t>
      </w:r>
    </w:p>
    <w:p>
      <w:pPr>
        <w:pStyle w:val="ListParagraph"/>
        <w:numPr>
          <w:ilvl w:val="0"/>
          <w:numId w:val="2"/>
        </w:numPr>
        <w:spacing w:after="60" w:before="60"/>
      </w:pPr>
      <w:r>
        <w:rPr>
          <w:rFonts w:ascii="Arial" w:cs="Arial" w:eastAsia="Arial" w:hAnsi="Arial"/>
          <w:color w:val="1C2833"/>
          <w:sz w:val="22"/>
          <w:szCs w:val="22"/>
        </w:rPr>
        <w:t xml:space="preserve">Dynamic content: AI-generated content (business plans, scheme summaries) generated in selected language</w:t>
      </w:r>
    </w:p>
    <w:p>
      <w:r>
        <w:br w:type="page"/>
      </w:r>
    </w:p>
    <w:p>
      <w:pPr>
        <w:pStyle w:val="Heading1"/>
        <w:shd w:fill="1A5276" w:val="clear"/>
        <w:spacing w:after="200" w:before="400"/>
        <w:ind w:left="200" w:right="200"/>
      </w:pPr>
      <w:r>
        <w:rPr>
          <w:rFonts w:ascii="Arial" w:cs="Arial" w:eastAsia="Arial" w:hAnsi="Arial"/>
          <w:b/>
          <w:bCs/>
          <w:color w:val="FFFFFF"/>
          <w:sz w:val="36"/>
          <w:szCs w:val="36"/>
        </w:rPr>
        <w:t xml:space="preserve">9. PRODUCT ROADMAP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0: 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 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Architecture setup, Flutter app skeleton, backend API structure, design system, Hindi + Tamil UI</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1: Core MVP</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 3–5</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Member onboarding, attendance, savings ledger, internal loans, basic dashboard, UPI payment integration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2: Financial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 6–8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SHG Credit Score, bank linkage integration, Account Aggregator, external loan application flow</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3: Marketplace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 9–11</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Product listing, B2C storefront, order management, logistics APIs (Delhivery), GST invoicing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4: Learning &amp; 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 12–14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Learning Academy (50 courses), AI Copilot (Sakhi), voice assistant, scheme hub</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5: B2B &amp; Scale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 15–18</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B2B procurement portal, corporate buyer onboarding, NGO dashboard, government APIs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Phase 6: Expansion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Month 19–24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8 additional languages, 5 new states, export facilitation, insurance cross-sell</w:t>
            </w:r>
          </w:p>
        </w:tc>
      </w:tr>
    </w:tbl>
    <w:p>
      <w:pPr>
        <w:spacing w:after="0" w:before="100"/>
      </w:pPr>
      <w:r>
        <w:t xml:space="preserve"/>
      </w:r>
    </w:p>
    <w:p>
      <w:pPr>
        <w:pStyle w:val="Heading2"/>
        <w:pBdr>
          <w:bottom w:val="single" w:color="2E86C1" w:sz="4"/>
        </w:pBdr>
        <w:spacing w:after="150" w:before="300"/>
      </w:pPr>
      <w:r>
        <w:rPr>
          <w:rFonts w:ascii="Arial" w:cs="Arial" w:eastAsia="Arial" w:hAnsi="Arial"/>
          <w:b/>
          <w:bCs/>
          <w:color w:val="1A5276"/>
          <w:sz w:val="28"/>
          <w:szCs w:val="28"/>
        </w:rPr>
        <w:t xml:space="preserve">9.1 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 Level</w:t>
            </w:r>
          </w:p>
        </w:tc>
        <w:tc>
          <w:tcPr>
            <w:tcW w:type="dxa" w:w="65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P0 — Critical (Launch Blockers)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Aadhaar KYC, savings ledger, UPI payments, attendance, loan management, offline sync</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P1 — High (Month 3–6)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SHG Credit Score, bank loan application, learning academy, basic marketplace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P2 — Medium (Month 6–12)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AI Copilot, scheme hub, B2C storefront, WhatsApp integration, advanced analytics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2833"/>
                <w:sz w:val="20"/>
                <w:szCs w:val="20"/>
              </w:rPr>
              <w:t xml:space="preserve">P3 — Low (Year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2833"/>
                <w:sz w:val="20"/>
                <w:szCs w:val="20"/>
              </w:rPr>
              <w:t xml:space="preserve">B2B portal, export facilitation, insurance, mentor marketplace, advanced gamification</w:t>
            </w:r>
          </w:p>
        </w:tc>
      </w:tr>
    </w:tbl>
    <w:p>
      <w:pPr>
        <w:spacing w:after="0" w:before="100"/>
      </w:pPr>
      <w:r>
        <w:t xml:space="preserve"/>
      </w:r>
    </w:p>
    <w:p>
      <w:pPr>
        <w:spacing w:after="80" w:before="80"/>
      </w:pPr>
      <w:r>
        <w:rPr>
          <w:rFonts w:ascii="Arial" w:cs="Arial" w:eastAsia="Arial" w:hAnsi="Arial"/>
          <w:color w:val="1C2833"/>
          <w:sz w:val="22"/>
          <w:szCs w:val="22"/>
        </w:rPr>
        <w:t xml:space="preserve">This PRD is intended to be read in conjunction with the Technical Requirements Document (TRD) and Business Requirements Document (BRD), which provide the engineering architecture and commercial framework respectively.</w:t>
      </w:r>
    </w:p>
    <w:p>
      <w:pPr>
        <w:spacing w:after="0" w:before="100"/>
      </w:pPr>
      <w:r>
        <w:t xml:space="preserve"/>
      </w:r>
    </w:p>
    <w:p>
      <w:pPr>
        <w:shd w:fill="1A5276" w:val="clear"/>
        <w:spacing w:after="200" w:before="200"/>
        <w:jc w:val="center"/>
      </w:pPr>
      <w:r>
        <w:rPr>
          <w:rFonts w:ascii="Arial" w:cs="Arial" w:eastAsia="Arial" w:hAnsi="Arial"/>
          <w:b/>
          <w:bCs/>
          <w:color w:val="FFFFFF"/>
          <w:sz w:val="24"/>
          <w:szCs w:val="24"/>
        </w:rPr>
        <w:t xml:space="preserve">— END OF PRODUCT REQUIREMENTS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pBdr>
      <w:jc w:val="center"/>
    </w:pPr>
    <w:r>
      <w:rPr>
        <w:rFonts w:ascii="Arial" w:cs="Arial" w:eastAsia="Arial" w:hAnsi="Arial"/>
        <w:color w:val="888888"/>
        <w:sz w:val="18"/>
        <w:szCs w:val="18"/>
      </w:rPr>
      <w:t xml:space="preserve">Page </w:t>
    </w:r>
    <w:r>
      <w:rPr>
        <w:rFonts w:ascii="Arial" w:cs="Arial" w:eastAsia="Arial" w:hAnsi="Arial"/>
        <w:color w:val="1A5276"/>
        <w:sz w:val="18"/>
        <w:szCs w:val="18"/>
      </w:rPr>
      <w:fldChar w:fldCharType="begin"/>
      <w:instrText xml:space="preserve">PAGE</w:instrText>
      <w:fldChar w:fldCharType="separate"/>
      <w:fldChar w:fldCharType="end"/>
    </w:r>
    <w:r>
      <w:rPr>
        <w:rFonts w:ascii="Arial" w:cs="Arial" w:eastAsia="Arial" w:hAnsi="Arial"/>
        <w:color w:val="888888"/>
        <w:sz w:val="16"/>
        <w:szCs w:val="16"/>
      </w:rPr>
      <w:t xml:space="preserve">  |  Setu SHG OS  |  © 2025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pBdr>
    </w:pPr>
    <w:r>
      <w:rPr>
        <w:rFonts w:ascii="Arial" w:cs="Arial" w:eastAsia="Arial" w:hAnsi="Arial"/>
        <w:b/>
        <w:bCs/>
        <w:color w:val="1A5276"/>
        <w:sz w:val="18"/>
        <w:szCs w:val="18"/>
      </w:rPr>
      <w:t xml:space="preserve">SETU SHG OS  |  Product Requirements Document (PRD)</w:t>
    </w:r>
    <w:r>
      <w:rPr>
        <w:rFonts w:ascii="Arial" w:cs="Arial" w:eastAsia="Arial" w:hAnsi="Arial"/>
        <w:color w:val="888888"/>
        <w:sz w:val="16"/>
        <w:szCs w:val="16"/>
      </w:rPr>
      <w:t xml:space="preserve">        CONFIDENTIAL  |  Version 1.0  |  June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A527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2026-06-01T04:20:08.733Z</dcterms:created>
  <dcterms:modified xsi:type="dcterms:W3CDTF">2026-06-01T04:20:08.733Z</dcterms:modified>
</cp:coreProperties>
</file>

<file path=docProps/custom.xml><?xml version="1.0" encoding="utf-8"?>
<Properties xmlns="http://schemas.openxmlformats.org/officeDocument/2006/custom-properties" xmlns:vt="http://schemas.openxmlformats.org/officeDocument/2006/docPropsVTypes"/>
</file>