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"id": 1,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"category": "Noise",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"title": "Quiet Hours",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"rule": "Maintain quiet after 22:00 (10 PM) until 08:00 (8 AM)",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"description": "Loud music, parties, or excessive noise during these hours may result in complaints and penalties."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"id": 2,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"category": "Pets",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"title": "No Pets Allowed",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"rule": "Pets are strictly prohibited in the apartment",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"description": "No dogs, cats, birds, or any other animals are permitted. Service animals require prior approval and documentation."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"id": 3,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"category": "Smoking",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"title": "Non-Smoking Property",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"rule": "Smoking is prohibited inside the apartment and common areas",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"description": "Smoking including cigarettes, cigars, and vaping is only allowed in designated outdoor areas."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"id": 4,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"category": "Visitors",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"title": "Guest Policy",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"rule": "Guests must be registered and cannot stay longer than 7 consecutive days",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"description": "All overnight guests must be registered at the front desk. Extended stays require landlord approval."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"id": 5,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"category": "Maintenance",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"title": "Damage Responsibility",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"rule": "Tenants are responsible for all damages beyond normal wear and tear",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"description": "Report any damages immediately. Repair costs will be deducted from security deposit."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"id": 6,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"category": "Parking",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"title": "Assigned Parking Only",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"rule": "Use only your assigned parking space",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"description": "Unauthorized vehicles in assigned spots will be towed at owner's expense."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"id": 7,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"category": "Trash",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"title": "Proper Waste Disposal",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"rule": "Dispose of trash in designated bins and follow recycling guidelines",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"description": "Trash must be placed in proper containers. Recycling is mandatory where available."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